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818" w:rsidRPr="00B33FD9" w:rsidRDefault="00185818" w:rsidP="002E3509">
      <w:pPr>
        <w:jc w:val="center"/>
        <w:outlineLvl w:val="0"/>
        <w:rPr>
          <w:b/>
        </w:rPr>
      </w:pPr>
      <w:bookmarkStart w:id="0" w:name="_GoBack"/>
      <w:bookmarkEnd w:id="0"/>
      <w:r w:rsidRPr="00B33FD9">
        <w:rPr>
          <w:b/>
        </w:rPr>
        <w:t>Before the</w:t>
      </w:r>
    </w:p>
    <w:p w:rsidR="00185818" w:rsidRPr="00B33FD9" w:rsidRDefault="00185818" w:rsidP="002E3509">
      <w:pPr>
        <w:jc w:val="center"/>
        <w:outlineLvl w:val="0"/>
        <w:rPr>
          <w:b/>
        </w:rPr>
      </w:pPr>
      <w:r w:rsidRPr="00B33FD9">
        <w:rPr>
          <w:b/>
        </w:rPr>
        <w:t>Federal Communications Commission</w:t>
      </w:r>
    </w:p>
    <w:p w:rsidR="00185818" w:rsidRPr="00B33FD9" w:rsidRDefault="00185818" w:rsidP="002E3509">
      <w:pPr>
        <w:jc w:val="center"/>
        <w:outlineLvl w:val="0"/>
        <w:rPr>
          <w:b/>
        </w:rPr>
      </w:pPr>
      <w:r w:rsidRPr="00B33FD9">
        <w:rPr>
          <w:b/>
        </w:rPr>
        <w:t>Washington, D.C. 20554</w:t>
      </w:r>
    </w:p>
    <w:p w:rsidR="00185818" w:rsidRPr="00B33FD9" w:rsidRDefault="00185818" w:rsidP="00E776F5"/>
    <w:p w:rsidR="00185818" w:rsidRPr="00B33FD9" w:rsidRDefault="00185818" w:rsidP="00E776F5"/>
    <w:tbl>
      <w:tblPr>
        <w:tblW w:w="0" w:type="auto"/>
        <w:tblLayout w:type="fixed"/>
        <w:tblLook w:val="0000" w:firstRow="0" w:lastRow="0" w:firstColumn="0" w:lastColumn="0" w:noHBand="0" w:noVBand="0"/>
      </w:tblPr>
      <w:tblGrid>
        <w:gridCol w:w="4698"/>
        <w:gridCol w:w="720"/>
        <w:gridCol w:w="4230"/>
      </w:tblGrid>
      <w:tr w:rsidR="00185818" w:rsidRPr="00B33FD9">
        <w:tc>
          <w:tcPr>
            <w:tcW w:w="4698" w:type="dxa"/>
          </w:tcPr>
          <w:p w:rsidR="00185818" w:rsidRPr="00B33FD9" w:rsidRDefault="00185818" w:rsidP="00E776F5">
            <w:pPr>
              <w:ind w:right="-18"/>
            </w:pPr>
            <w:r w:rsidRPr="00B33FD9">
              <w:t>In the Matter of</w:t>
            </w:r>
          </w:p>
          <w:p w:rsidR="00185818" w:rsidRPr="00B33FD9" w:rsidRDefault="00185818" w:rsidP="00E776F5">
            <w:pPr>
              <w:ind w:right="-18"/>
            </w:pPr>
          </w:p>
          <w:p w:rsidR="00185818" w:rsidRPr="00B33FD9" w:rsidRDefault="00FC233B" w:rsidP="00E776F5">
            <w:pPr>
              <w:ind w:right="-18"/>
            </w:pPr>
            <w:r w:rsidRPr="00B33FD9">
              <w:t>Rural Health Care Support Mechanism</w:t>
            </w:r>
          </w:p>
          <w:p w:rsidR="00185818" w:rsidRPr="00B33FD9" w:rsidRDefault="00185818" w:rsidP="00E776F5">
            <w:pPr>
              <w:ind w:right="-18"/>
            </w:pPr>
          </w:p>
          <w:p w:rsidR="00185818" w:rsidRPr="00B33FD9" w:rsidRDefault="00185818" w:rsidP="00E776F5">
            <w:pPr>
              <w:ind w:right="-18"/>
            </w:pPr>
          </w:p>
        </w:tc>
        <w:tc>
          <w:tcPr>
            <w:tcW w:w="720" w:type="dxa"/>
          </w:tcPr>
          <w:p w:rsidR="00185818" w:rsidRPr="00B33FD9" w:rsidRDefault="00185818" w:rsidP="00E776F5">
            <w:pPr>
              <w:rPr>
                <w:b/>
              </w:rPr>
            </w:pPr>
            <w:r w:rsidRPr="00B33FD9">
              <w:rPr>
                <w:b/>
              </w:rPr>
              <w:t>)</w:t>
            </w:r>
          </w:p>
          <w:p w:rsidR="00185818" w:rsidRPr="00B33FD9" w:rsidRDefault="00185818" w:rsidP="00E776F5">
            <w:pPr>
              <w:rPr>
                <w:b/>
              </w:rPr>
            </w:pPr>
            <w:r w:rsidRPr="00B33FD9">
              <w:rPr>
                <w:b/>
              </w:rPr>
              <w:t>)</w:t>
            </w:r>
          </w:p>
          <w:p w:rsidR="00185818" w:rsidRPr="00B33FD9" w:rsidRDefault="00185818" w:rsidP="00E776F5">
            <w:pPr>
              <w:rPr>
                <w:b/>
              </w:rPr>
            </w:pPr>
            <w:r w:rsidRPr="00B33FD9">
              <w:rPr>
                <w:b/>
              </w:rPr>
              <w:t>)</w:t>
            </w:r>
          </w:p>
          <w:p w:rsidR="00185818" w:rsidRPr="00B33FD9" w:rsidRDefault="00185818" w:rsidP="00E776F5">
            <w:pPr>
              <w:rPr>
                <w:b/>
              </w:rPr>
            </w:pPr>
            <w:r w:rsidRPr="00B33FD9">
              <w:rPr>
                <w:b/>
              </w:rPr>
              <w:t>)</w:t>
            </w:r>
          </w:p>
          <w:p w:rsidR="00185818" w:rsidRPr="00B33FD9" w:rsidRDefault="006C7B83" w:rsidP="00E776F5">
            <w:pPr>
              <w:rPr>
                <w:b/>
              </w:rPr>
            </w:pPr>
            <w:r w:rsidRPr="00B33FD9">
              <w:rPr>
                <w:b/>
              </w:rPr>
              <w:t>)</w:t>
            </w:r>
          </w:p>
          <w:p w:rsidR="00185818" w:rsidRPr="00B33FD9" w:rsidRDefault="00185818" w:rsidP="00E776F5">
            <w:pPr>
              <w:rPr>
                <w:b/>
              </w:rPr>
            </w:pPr>
          </w:p>
        </w:tc>
        <w:tc>
          <w:tcPr>
            <w:tcW w:w="4230" w:type="dxa"/>
          </w:tcPr>
          <w:p w:rsidR="00185818" w:rsidRPr="00B33FD9" w:rsidRDefault="00185818" w:rsidP="00E776F5"/>
          <w:p w:rsidR="00185818" w:rsidRPr="00B33FD9" w:rsidRDefault="00185818" w:rsidP="00E776F5"/>
          <w:p w:rsidR="00185818" w:rsidRPr="00B33FD9" w:rsidRDefault="00185818" w:rsidP="00E776F5">
            <w:r w:rsidRPr="00B33FD9">
              <w:rPr>
                <w:spacing w:val="-2"/>
              </w:rPr>
              <w:t xml:space="preserve">WC Docket No. </w:t>
            </w:r>
            <w:r w:rsidR="00FC233B" w:rsidRPr="00B33FD9">
              <w:rPr>
                <w:spacing w:val="-2"/>
              </w:rPr>
              <w:t>02-60</w:t>
            </w:r>
          </w:p>
        </w:tc>
      </w:tr>
    </w:tbl>
    <w:p w:rsidR="00185818" w:rsidRPr="00B33FD9" w:rsidRDefault="00185818" w:rsidP="00E776F5">
      <w:pPr>
        <w:spacing w:before="120"/>
        <w:jc w:val="center"/>
        <w:rPr>
          <w:b/>
        </w:rPr>
      </w:pPr>
      <w:r w:rsidRPr="00B33FD9">
        <w:rPr>
          <w:b/>
          <w:spacing w:val="-2"/>
        </w:rPr>
        <w:t>ORDER</w:t>
      </w:r>
    </w:p>
    <w:p w:rsidR="00185818" w:rsidRPr="00B33FD9" w:rsidRDefault="00185818" w:rsidP="00E776F5"/>
    <w:p w:rsidR="00185818" w:rsidRPr="00B33FD9" w:rsidRDefault="00185818" w:rsidP="00E776F5">
      <w:pPr>
        <w:tabs>
          <w:tab w:val="left" w:pos="5760"/>
        </w:tabs>
        <w:rPr>
          <w:b/>
        </w:rPr>
      </w:pPr>
      <w:r w:rsidRPr="00B33FD9">
        <w:rPr>
          <w:b/>
        </w:rPr>
        <w:t xml:space="preserve">Adopted:  </w:t>
      </w:r>
      <w:r w:rsidR="009F6F76">
        <w:rPr>
          <w:b/>
        </w:rPr>
        <w:t>Ju</w:t>
      </w:r>
      <w:r w:rsidR="00CD7A3E">
        <w:rPr>
          <w:b/>
        </w:rPr>
        <w:t>ly</w:t>
      </w:r>
      <w:r w:rsidRPr="00B33FD9">
        <w:rPr>
          <w:b/>
        </w:rPr>
        <w:t xml:space="preserve"> </w:t>
      </w:r>
      <w:r w:rsidR="00444B6D">
        <w:rPr>
          <w:b/>
        </w:rPr>
        <w:t>23</w:t>
      </w:r>
      <w:r w:rsidR="00FC233B" w:rsidRPr="00B33FD9">
        <w:rPr>
          <w:b/>
        </w:rPr>
        <w:t xml:space="preserve">, </w:t>
      </w:r>
      <w:r w:rsidRPr="00B33FD9">
        <w:rPr>
          <w:b/>
        </w:rPr>
        <w:t>201</w:t>
      </w:r>
      <w:r w:rsidR="00FC233B" w:rsidRPr="00B33FD9">
        <w:rPr>
          <w:b/>
        </w:rPr>
        <w:t>4</w:t>
      </w:r>
      <w:r w:rsidRPr="00B33FD9">
        <w:rPr>
          <w:b/>
        </w:rPr>
        <w:tab/>
      </w:r>
      <w:r w:rsidRPr="00B33FD9">
        <w:rPr>
          <w:b/>
        </w:rPr>
        <w:tab/>
        <w:t xml:space="preserve">      Released: </w:t>
      </w:r>
      <w:r w:rsidR="009F6F76">
        <w:rPr>
          <w:b/>
        </w:rPr>
        <w:t>Ju</w:t>
      </w:r>
      <w:r w:rsidR="00CD7A3E">
        <w:rPr>
          <w:b/>
        </w:rPr>
        <w:t>ly</w:t>
      </w:r>
      <w:r w:rsidR="00FC233B" w:rsidRPr="00B33FD9">
        <w:rPr>
          <w:b/>
        </w:rPr>
        <w:t xml:space="preserve"> </w:t>
      </w:r>
      <w:r w:rsidR="00444B6D">
        <w:rPr>
          <w:b/>
        </w:rPr>
        <w:t>23</w:t>
      </w:r>
      <w:r w:rsidR="00FC233B" w:rsidRPr="00B33FD9">
        <w:rPr>
          <w:b/>
        </w:rPr>
        <w:t>, 2014</w:t>
      </w:r>
    </w:p>
    <w:p w:rsidR="00185818" w:rsidRPr="00B33FD9" w:rsidRDefault="00185818" w:rsidP="00E776F5">
      <w:pPr>
        <w:tabs>
          <w:tab w:val="left" w:pos="5760"/>
        </w:tabs>
        <w:rPr>
          <w:b/>
        </w:rPr>
      </w:pPr>
    </w:p>
    <w:p w:rsidR="00185818" w:rsidRPr="00B33FD9" w:rsidRDefault="00185818" w:rsidP="00E776F5">
      <w:pPr>
        <w:tabs>
          <w:tab w:val="left" w:pos="5760"/>
        </w:tabs>
      </w:pPr>
      <w:r w:rsidRPr="00B33FD9">
        <w:t xml:space="preserve">By the </w:t>
      </w:r>
      <w:r w:rsidR="007640B6">
        <w:t>Acting</w:t>
      </w:r>
      <w:r w:rsidR="009F6F76">
        <w:t xml:space="preserve"> </w:t>
      </w:r>
      <w:r w:rsidRPr="00B33FD9">
        <w:rPr>
          <w:spacing w:val="-2"/>
        </w:rPr>
        <w:t>Chief, Wireline Competition Bureau:</w:t>
      </w:r>
    </w:p>
    <w:p w:rsidR="00185818" w:rsidRDefault="00185818" w:rsidP="00E776F5"/>
    <w:p w:rsidR="00C601DA" w:rsidRPr="009F6F76" w:rsidRDefault="00C601DA" w:rsidP="00E776F5">
      <w:pPr>
        <w:rPr>
          <w:b/>
        </w:rPr>
      </w:pPr>
      <w:r w:rsidRPr="009F6F76">
        <w:rPr>
          <w:b/>
        </w:rPr>
        <w:t>I.</w:t>
      </w:r>
      <w:r w:rsidRPr="009F6F76">
        <w:rPr>
          <w:b/>
        </w:rPr>
        <w:tab/>
        <w:t>INTRODUCTION AND BACKGROUND</w:t>
      </w:r>
    </w:p>
    <w:p w:rsidR="00C601DA" w:rsidRPr="00B33FD9" w:rsidRDefault="00C601DA" w:rsidP="00E776F5"/>
    <w:p w:rsidR="001340B8" w:rsidRDefault="001340B8" w:rsidP="00E776F5">
      <w:pPr>
        <w:pStyle w:val="ParaNum"/>
      </w:pPr>
      <w:r w:rsidRPr="00B33FD9">
        <w:t xml:space="preserve">In this Order, </w:t>
      </w:r>
      <w:r w:rsidR="000F7832" w:rsidRPr="00B33FD9">
        <w:t>pursuant to section 54.600(b)(1)</w:t>
      </w:r>
      <w:r w:rsidR="007E4BEF" w:rsidRPr="00B33FD9">
        <w:rPr>
          <w:rStyle w:val="FootnoteReference"/>
        </w:rPr>
        <w:t xml:space="preserve"> </w:t>
      </w:r>
      <w:r w:rsidR="007E4BEF" w:rsidRPr="00B33FD9">
        <w:t>of the Commission’s rules,</w:t>
      </w:r>
      <w:r w:rsidR="009253E2" w:rsidRPr="00B33FD9">
        <w:rPr>
          <w:rStyle w:val="FootnoteReference"/>
        </w:rPr>
        <w:footnoteReference w:id="2"/>
      </w:r>
      <w:r w:rsidR="009253E2" w:rsidRPr="00B33FD9">
        <w:rPr>
          <w:rStyle w:val="FootnoteReference"/>
        </w:rPr>
        <w:t xml:space="preserve"> </w:t>
      </w:r>
      <w:r w:rsidR="007E4BEF" w:rsidRPr="00B33FD9">
        <w:t xml:space="preserve"> </w:t>
      </w:r>
      <w:r w:rsidRPr="00B33FD9">
        <w:t xml:space="preserve">the Wireline Competition Bureau (Bureau) </w:t>
      </w:r>
      <w:r w:rsidR="004309C2">
        <w:t>take</w:t>
      </w:r>
      <w:r w:rsidR="00C601DA">
        <w:t>s</w:t>
      </w:r>
      <w:r w:rsidR="009F6F76">
        <w:t xml:space="preserve"> </w:t>
      </w:r>
      <w:r w:rsidR="004309C2">
        <w:t xml:space="preserve">action to </w:t>
      </w:r>
      <w:r w:rsidRPr="00B33FD9">
        <w:t xml:space="preserve">update the list </w:t>
      </w:r>
      <w:r w:rsidR="00A2730C" w:rsidRPr="00B33FD9">
        <w:t xml:space="preserve">of rural areas </w:t>
      </w:r>
      <w:r w:rsidR="000F7832" w:rsidRPr="00B33FD9">
        <w:t xml:space="preserve">used to determine eligibility </w:t>
      </w:r>
      <w:r w:rsidR="004923A3" w:rsidRPr="00B33FD9">
        <w:t xml:space="preserve">in the </w:t>
      </w:r>
      <w:r w:rsidR="00BA5F24" w:rsidRPr="00B33FD9">
        <w:t>Rural Health Care (RHC)</w:t>
      </w:r>
      <w:r w:rsidR="000F7832" w:rsidRPr="00B33FD9">
        <w:t xml:space="preserve"> universal</w:t>
      </w:r>
      <w:r w:rsidR="004923A3" w:rsidRPr="00B33FD9">
        <w:t xml:space="preserve"> </w:t>
      </w:r>
      <w:r w:rsidR="00F421A9">
        <w:t xml:space="preserve">service </w:t>
      </w:r>
      <w:r w:rsidR="004923A3" w:rsidRPr="00B33FD9">
        <w:t>support mechanism</w:t>
      </w:r>
      <w:r w:rsidR="000F7832" w:rsidRPr="00B33FD9">
        <w:t xml:space="preserve">.  </w:t>
      </w:r>
      <w:r w:rsidR="003D119B">
        <w:t>Consistent with precedent, t</w:t>
      </w:r>
      <w:r w:rsidR="000F7832" w:rsidRPr="00B33FD9">
        <w:t xml:space="preserve">he Bureau </w:t>
      </w:r>
      <w:r w:rsidR="003D119B">
        <w:t xml:space="preserve">provides a transition period for affected parties </w:t>
      </w:r>
      <w:r w:rsidR="000F7832" w:rsidRPr="00B33FD9">
        <w:t xml:space="preserve">and </w:t>
      </w:r>
      <w:r w:rsidR="007E4BEF" w:rsidRPr="00B33FD9">
        <w:t>instructs ap</w:t>
      </w:r>
      <w:r w:rsidR="000F7832" w:rsidRPr="00B33FD9">
        <w:t xml:space="preserve">plicants impacted </w:t>
      </w:r>
      <w:r w:rsidR="00B33FD9" w:rsidRPr="00B33FD9">
        <w:t xml:space="preserve">by </w:t>
      </w:r>
      <w:r w:rsidR="00EE610F" w:rsidRPr="00B33FD9">
        <w:t>this on how they</w:t>
      </w:r>
      <w:r w:rsidR="000F7832" w:rsidRPr="00B33FD9">
        <w:t xml:space="preserve"> can seek future support from the RHC program</w:t>
      </w:r>
      <w:r w:rsidR="007E4BEF" w:rsidRPr="00B33FD9">
        <w:t>,</w:t>
      </w:r>
      <w:r w:rsidR="00FF05B6">
        <w:rPr>
          <w:rStyle w:val="FootnoteReference"/>
        </w:rPr>
        <w:footnoteReference w:id="3"/>
      </w:r>
      <w:r w:rsidR="007E4BEF" w:rsidRPr="00B33FD9">
        <w:t xml:space="preserve"> as outlined in Appendix A</w:t>
      </w:r>
      <w:r w:rsidRPr="00B33FD9">
        <w:t xml:space="preserve">.  </w:t>
      </w:r>
    </w:p>
    <w:p w:rsidR="008A318C" w:rsidRPr="008A318C" w:rsidRDefault="00EE1F13" w:rsidP="008A318C">
      <w:pPr>
        <w:pStyle w:val="ParaNum"/>
        <w:widowControl/>
      </w:pPr>
      <w:r>
        <w:t>As part of the Telecommunications Act of 1996 (1996 Act),</w:t>
      </w:r>
      <w:r>
        <w:rPr>
          <w:rStyle w:val="FootnoteReference"/>
        </w:rPr>
        <w:footnoteReference w:id="4"/>
      </w:r>
      <w:r>
        <w:rPr>
          <w:snapToGrid/>
        </w:rPr>
        <w:t xml:space="preserve"> </w:t>
      </w:r>
      <w:r w:rsidRPr="00EE1F13">
        <w:rPr>
          <w:snapToGrid/>
        </w:rPr>
        <w:t xml:space="preserve">Congress recognized the value of providing rural </w:t>
      </w:r>
      <w:r>
        <w:rPr>
          <w:snapToGrid/>
        </w:rPr>
        <w:t>health care providers (</w:t>
      </w:r>
      <w:r w:rsidRPr="00EE1F13">
        <w:rPr>
          <w:snapToGrid/>
        </w:rPr>
        <w:t>HCPs</w:t>
      </w:r>
      <w:r>
        <w:rPr>
          <w:snapToGrid/>
        </w:rPr>
        <w:t>)</w:t>
      </w:r>
      <w:r w:rsidRPr="00EE1F13">
        <w:rPr>
          <w:snapToGrid/>
        </w:rPr>
        <w:t xml:space="preserve"> with “an affordable rate for the services necessary for the provision of telemedicine and instruction relating to such services.”</w:t>
      </w:r>
      <w:r w:rsidRPr="00EE1F13">
        <w:rPr>
          <w:snapToGrid/>
          <w:vertAlign w:val="superscript"/>
        </w:rPr>
        <w:footnoteReference w:id="5"/>
      </w:r>
      <w:r w:rsidRPr="00EE1F13">
        <w:rPr>
          <w:snapToGrid/>
        </w:rPr>
        <w:t xml:space="preserve">  The 1996 Act mandated that telecommunications carriers provide telecommunications services for health care purposes to rural public or non-profit HCPs at rates that are “reasonably comparable” to rates in urban areas.</w:t>
      </w:r>
      <w:r w:rsidRPr="00EE1F13">
        <w:rPr>
          <w:snapToGrid/>
          <w:vertAlign w:val="superscript"/>
        </w:rPr>
        <w:footnoteReference w:id="6"/>
      </w:r>
      <w:r w:rsidRPr="00EE1F13">
        <w:rPr>
          <w:snapToGrid/>
        </w:rPr>
        <w:t xml:space="preserve">  </w:t>
      </w:r>
      <w:r w:rsidR="008A318C" w:rsidRPr="008A318C">
        <w:t xml:space="preserve">Eligible HCPs, as defined in the 1996 Act, only include (1) post-secondary educational institutions offering health care instruction, teaching hospitals, and medical schools; (2) community health centers or health centers providing health care to migrants; (3) local health departments or agencies; (4) community mental health </w:t>
      </w:r>
      <w:r w:rsidR="008A318C" w:rsidRPr="008A318C">
        <w:lastRenderedPageBreak/>
        <w:t>centers; (5) not-for-profit hospitals; (6) rural health clinics; and (7) consortia of HCPs consisting of one or more entities falling into the first six categories.</w:t>
      </w:r>
      <w:r w:rsidR="008A318C" w:rsidRPr="008A318C">
        <w:rPr>
          <w:vertAlign w:val="superscript"/>
        </w:rPr>
        <w:footnoteReference w:id="7"/>
      </w:r>
      <w:r w:rsidR="008A318C" w:rsidRPr="008A318C">
        <w:t xml:space="preserve">  In addition, eligible HCPs must be non-profit or public.</w:t>
      </w:r>
      <w:r w:rsidR="008A318C" w:rsidRPr="008A318C">
        <w:rPr>
          <w:vertAlign w:val="superscript"/>
        </w:rPr>
        <w:footnoteReference w:id="8"/>
      </w:r>
    </w:p>
    <w:p w:rsidR="003D119B" w:rsidRDefault="00EE1F13" w:rsidP="00BA2B90">
      <w:pPr>
        <w:pStyle w:val="ParaNum"/>
      </w:pPr>
      <w:r w:rsidRPr="00EE1F13">
        <w:rPr>
          <w:snapToGrid/>
        </w:rPr>
        <w:t xml:space="preserve"> </w:t>
      </w:r>
      <w:r w:rsidR="008A318C">
        <w:rPr>
          <w:snapToGrid/>
        </w:rPr>
        <w:t xml:space="preserve">Consistent </w:t>
      </w:r>
      <w:r w:rsidR="008A318C" w:rsidRPr="00EE1F13">
        <w:rPr>
          <w:snapToGrid/>
        </w:rPr>
        <w:t xml:space="preserve">with Congress’s directive, </w:t>
      </w:r>
      <w:r w:rsidR="008A318C">
        <w:rPr>
          <w:snapToGrid/>
        </w:rPr>
        <w:t xml:space="preserve">in the </w:t>
      </w:r>
      <w:r w:rsidR="00283AD8">
        <w:rPr>
          <w:snapToGrid/>
        </w:rPr>
        <w:t xml:space="preserve">1997 </w:t>
      </w:r>
      <w:r w:rsidR="008A318C">
        <w:rPr>
          <w:i/>
          <w:snapToGrid/>
        </w:rPr>
        <w:t xml:space="preserve">Universal Service </w:t>
      </w:r>
      <w:r w:rsidR="00283AD8">
        <w:rPr>
          <w:i/>
          <w:snapToGrid/>
        </w:rPr>
        <w:t xml:space="preserve">First </w:t>
      </w:r>
      <w:r w:rsidR="008A318C">
        <w:rPr>
          <w:i/>
          <w:snapToGrid/>
        </w:rPr>
        <w:t xml:space="preserve">Report and </w:t>
      </w:r>
      <w:r w:rsidR="008A318C" w:rsidRPr="008A318C">
        <w:rPr>
          <w:i/>
          <w:snapToGrid/>
        </w:rPr>
        <w:t>Order</w:t>
      </w:r>
      <w:r w:rsidR="008A318C">
        <w:rPr>
          <w:snapToGrid/>
        </w:rPr>
        <w:t>, the Commission concluded that all profit and non-profit HCPs that are located in “rural areas” and meet the statutory definition set forth in section 254(h)(</w:t>
      </w:r>
      <w:r w:rsidR="00CF51B9">
        <w:rPr>
          <w:snapToGrid/>
        </w:rPr>
        <w:t>7</w:t>
      </w:r>
      <w:r w:rsidR="008A318C">
        <w:rPr>
          <w:snapToGrid/>
        </w:rPr>
        <w:t xml:space="preserve">)(B) of the Act </w:t>
      </w:r>
      <w:r w:rsidR="00283AD8">
        <w:rPr>
          <w:snapToGrid/>
        </w:rPr>
        <w:t>would be</w:t>
      </w:r>
      <w:r w:rsidR="008A318C">
        <w:rPr>
          <w:snapToGrid/>
        </w:rPr>
        <w:t xml:space="preserve"> eligible for RHC support</w:t>
      </w:r>
      <w:r w:rsidR="00D968A3">
        <w:rPr>
          <w:snapToGrid/>
        </w:rPr>
        <w:t>.</w:t>
      </w:r>
      <w:r w:rsidR="00D968A3">
        <w:rPr>
          <w:rStyle w:val="FootnoteReference"/>
          <w:snapToGrid/>
        </w:rPr>
        <w:footnoteReference w:id="9"/>
      </w:r>
      <w:r w:rsidR="008A318C">
        <w:rPr>
          <w:snapToGrid/>
        </w:rPr>
        <w:t xml:space="preserve"> </w:t>
      </w:r>
      <w:r w:rsidR="00D968A3">
        <w:rPr>
          <w:snapToGrid/>
        </w:rPr>
        <w:t xml:space="preserve"> </w:t>
      </w:r>
      <w:r w:rsidR="008A318C">
        <w:rPr>
          <w:snapToGrid/>
        </w:rPr>
        <w:t xml:space="preserve">The Commission </w:t>
      </w:r>
      <w:r w:rsidR="00D968A3" w:rsidRPr="00B33FD9">
        <w:t xml:space="preserve">defined “rural areas” </w:t>
      </w:r>
      <w:r w:rsidR="003D119B">
        <w:t xml:space="preserve">at that time </w:t>
      </w:r>
      <w:r w:rsidR="00D968A3" w:rsidRPr="00B33FD9">
        <w:t>by reference to the Office of Management and Budget’s (OMB) list of non-metropolitan counties and the Office of Rural Health Policy’s (ORHP) Goldsmith Modification</w:t>
      </w:r>
      <w:r w:rsidR="00D968A3" w:rsidRPr="00B33FD9">
        <w:rPr>
          <w:rStyle w:val="FootnoteReference"/>
        </w:rPr>
        <w:footnoteReference w:id="10"/>
      </w:r>
      <w:r w:rsidR="00D968A3" w:rsidRPr="00B33FD9">
        <w:t xml:space="preserve"> to the 1990 census data.</w:t>
      </w:r>
      <w:r w:rsidR="00D968A3" w:rsidRPr="00B33FD9">
        <w:rPr>
          <w:rStyle w:val="FootnoteReference"/>
        </w:rPr>
        <w:footnoteReference w:id="11"/>
      </w:r>
      <w:r w:rsidR="00D968A3" w:rsidRPr="00B33FD9">
        <w:t xml:space="preserve">  </w:t>
      </w:r>
    </w:p>
    <w:p w:rsidR="00542508" w:rsidRPr="00B33FD9" w:rsidRDefault="003D119B" w:rsidP="00BA2B90">
      <w:pPr>
        <w:pStyle w:val="ParaNum"/>
      </w:pPr>
      <w:r>
        <w:t xml:space="preserve">  </w:t>
      </w:r>
      <w:r w:rsidR="00283AD8">
        <w:t>In 2004, the Commission adopted a new definition of rural areas for purposes of the RHC programs</w:t>
      </w:r>
      <w:r w:rsidR="0021586A">
        <w:t>.</w:t>
      </w:r>
      <w:r w:rsidR="00283AD8" w:rsidRPr="00B33FD9">
        <w:rPr>
          <w:rStyle w:val="FootnoteReference"/>
          <w:szCs w:val="22"/>
        </w:rPr>
        <w:footnoteReference w:id="12"/>
      </w:r>
      <w:r w:rsidR="00283AD8">
        <w:t xml:space="preserve">  </w:t>
      </w:r>
      <w:r w:rsidR="00C95293">
        <w:t xml:space="preserve">Recognizing that this new definition might negatively </w:t>
      </w:r>
      <w:r w:rsidR="00FB6042">
        <w:t xml:space="preserve">impact </w:t>
      </w:r>
      <w:r w:rsidR="00C95293">
        <w:t>the business operation</w:t>
      </w:r>
      <w:r w:rsidR="00FB6042">
        <w:t>s</w:t>
      </w:r>
      <w:r w:rsidR="00C95293">
        <w:t xml:space="preserve"> of HCPs participating in the program, the Commission provided HCPs that had received a funding commitment</w:t>
      </w:r>
      <w:r w:rsidR="009248F7">
        <w:t xml:space="preserve"> in the RHC program </w:t>
      </w:r>
      <w:r>
        <w:t xml:space="preserve">since its inception </w:t>
      </w:r>
      <w:r w:rsidR="00C95293">
        <w:t>a three</w:t>
      </w:r>
      <w:r w:rsidR="009253E2">
        <w:t>-</w:t>
      </w:r>
      <w:r w:rsidR="00C95293">
        <w:t xml:space="preserve">year transition period during which they </w:t>
      </w:r>
      <w:r w:rsidR="005E14F4">
        <w:t>could qualify</w:t>
      </w:r>
      <w:r w:rsidR="00C95293">
        <w:t xml:space="preserve"> for support.</w:t>
      </w:r>
      <w:r w:rsidR="00C95293">
        <w:rPr>
          <w:rStyle w:val="FootnoteReference"/>
        </w:rPr>
        <w:footnoteReference w:id="13"/>
      </w:r>
      <w:r w:rsidR="00C95293">
        <w:t xml:space="preserve">  </w:t>
      </w:r>
      <w:r w:rsidR="00542508" w:rsidRPr="00B33FD9">
        <w:t>Under th</w:t>
      </w:r>
      <w:r w:rsidR="00C95293">
        <w:t xml:space="preserve">e </w:t>
      </w:r>
      <w:r w:rsidR="00542508" w:rsidRPr="00B33FD9">
        <w:t>definition</w:t>
      </w:r>
      <w:r>
        <w:t xml:space="preserve"> adopted in 2004</w:t>
      </w:r>
      <w:r w:rsidR="00542508" w:rsidRPr="00B33FD9">
        <w:t>, a “rural area” is an area that is either entirely outside a Core Based Statistical Area (CBSA), as defined by OMB based on data obtained through the most recent decennial census, or is within a CBSA but meets certain criteria related to population density.</w:t>
      </w:r>
      <w:r w:rsidR="00542508" w:rsidRPr="00B33FD9">
        <w:rPr>
          <w:rStyle w:val="FootnoteReference"/>
        </w:rPr>
        <w:footnoteReference w:id="14"/>
      </w:r>
      <w:r w:rsidR="00542508" w:rsidRPr="00B33FD9">
        <w:t xml:space="preserve">  The definition thus relies on a combination of the decennial census data and OMB’s designations of CBSAs.</w:t>
      </w:r>
      <w:r w:rsidR="009F6F76">
        <w:t xml:space="preserve"> </w:t>
      </w:r>
      <w:r w:rsidR="00191F81">
        <w:t xml:space="preserve"> T</w:t>
      </w:r>
      <w:r w:rsidR="00191F81" w:rsidRPr="00B33FD9">
        <w:t xml:space="preserve">he Commission applied this new definition to sites in the RHC program and </w:t>
      </w:r>
      <w:r w:rsidR="00191F81">
        <w:t xml:space="preserve">directed </w:t>
      </w:r>
      <w:r w:rsidR="009253E2">
        <w:t>the Universal Service Administrative Company (</w:t>
      </w:r>
      <w:r w:rsidR="00191F81">
        <w:t>USAC</w:t>
      </w:r>
      <w:r w:rsidR="009253E2">
        <w:t>), administrator of the federal universal service programs,</w:t>
      </w:r>
      <w:r w:rsidR="009253E2">
        <w:rPr>
          <w:rStyle w:val="FootnoteReference"/>
        </w:rPr>
        <w:footnoteReference w:id="15"/>
      </w:r>
      <w:r w:rsidR="00191F81">
        <w:t xml:space="preserve"> to post on its </w:t>
      </w:r>
      <w:r w:rsidR="00191F81" w:rsidRPr="00B33FD9">
        <w:t>website a “rural areas” list (the “2005 Rural Areas List”) to implement the revised definition.</w:t>
      </w:r>
      <w:r w:rsidR="004A2C54">
        <w:rPr>
          <w:rStyle w:val="FootnoteReference"/>
        </w:rPr>
        <w:footnoteReference w:id="16"/>
      </w:r>
      <w:r w:rsidR="00191F81" w:rsidRPr="00B33FD9">
        <w:t xml:space="preserve">  The 2005 Rural Areas List was based on the 2000 census data and the then-current OMB identification of CBSAs.  Since the 2005 Rural Areas List was posted, the Census Bureau has updated its identification of “Urban Areas” and “Places,” and OMB has updated its designation of CBSAs, to reflect the more recent census and population data</w:t>
      </w:r>
      <w:r w:rsidR="00191F81">
        <w:t xml:space="preserve">. </w:t>
      </w:r>
      <w:r w:rsidR="00191F81" w:rsidRPr="00B33FD9">
        <w:t xml:space="preserve"> </w:t>
      </w:r>
      <w:r w:rsidR="00E20384">
        <w:t>However</w:t>
      </w:r>
      <w:r w:rsidR="00191F81" w:rsidRPr="00B33FD9">
        <w:t xml:space="preserve">, the 2005 Rural Areas List </w:t>
      </w:r>
      <w:r w:rsidR="0021586A">
        <w:t xml:space="preserve">has not yet been updated and </w:t>
      </w:r>
      <w:r w:rsidR="00191F81" w:rsidRPr="00B33FD9">
        <w:t xml:space="preserve">is still used to determine whether a </w:t>
      </w:r>
      <w:r w:rsidR="00191F81">
        <w:t>HCP</w:t>
      </w:r>
      <w:r w:rsidR="00191F81" w:rsidRPr="00B33FD9">
        <w:t xml:space="preserve"> site is “rural.”</w:t>
      </w:r>
      <w:r w:rsidR="00191F81" w:rsidRPr="00B33FD9">
        <w:rPr>
          <w:rStyle w:val="FootnoteReference"/>
        </w:rPr>
        <w:footnoteReference w:id="17"/>
      </w:r>
    </w:p>
    <w:p w:rsidR="004923A3" w:rsidRPr="00B33FD9" w:rsidRDefault="00D03011" w:rsidP="00542508">
      <w:pPr>
        <w:pStyle w:val="ParaNum"/>
      </w:pPr>
      <w:r>
        <w:t>Pursuant to the</w:t>
      </w:r>
      <w:r w:rsidR="00967674">
        <w:t xml:space="preserve"> Act and the</w:t>
      </w:r>
      <w:r w:rsidR="00B11461">
        <w:t xml:space="preserve"> </w:t>
      </w:r>
      <w:r>
        <w:t>Commission’s rules</w:t>
      </w:r>
      <w:r w:rsidR="004448C3" w:rsidRPr="00B33FD9">
        <w:t xml:space="preserve">, </w:t>
      </w:r>
      <w:r w:rsidR="00E776F5" w:rsidRPr="00B33FD9">
        <w:t>each individual HCP site must be located in a rural area to receive support</w:t>
      </w:r>
      <w:r>
        <w:t xml:space="preserve"> in </w:t>
      </w:r>
      <w:r w:rsidRPr="00B33FD9">
        <w:t>the Telecommunications and Internet Access programs</w:t>
      </w:r>
      <w:r w:rsidR="00E776F5" w:rsidRPr="00B33FD9">
        <w:t>.</w:t>
      </w:r>
      <w:r w:rsidR="00E776F5" w:rsidRPr="00B33FD9">
        <w:rPr>
          <w:rStyle w:val="FootnoteReference"/>
        </w:rPr>
        <w:footnoteReference w:id="18"/>
      </w:r>
      <w:r w:rsidR="00E776F5" w:rsidRPr="00B33FD9">
        <w:t xml:space="preserve">  Similarly, individual applicants in the Healthcare Connect Fund (HCF) must also be </w:t>
      </w:r>
      <w:r w:rsidR="00E17277" w:rsidRPr="00B33FD9">
        <w:t xml:space="preserve">located in a </w:t>
      </w:r>
      <w:r w:rsidR="00E776F5" w:rsidRPr="00B33FD9">
        <w:t>rural</w:t>
      </w:r>
      <w:r w:rsidR="00E17277" w:rsidRPr="00B33FD9">
        <w:t xml:space="preserve"> area</w:t>
      </w:r>
      <w:r w:rsidR="00E776F5" w:rsidRPr="00B33FD9">
        <w:t>.</w:t>
      </w:r>
      <w:r w:rsidR="00E776F5" w:rsidRPr="00B33FD9">
        <w:rPr>
          <w:rStyle w:val="FootnoteReference"/>
        </w:rPr>
        <w:footnoteReference w:id="19"/>
      </w:r>
      <w:r w:rsidR="00E776F5" w:rsidRPr="00B33FD9">
        <w:t xml:space="preserve">  Although both HCF and the Rural Health Care Pilot Program (Pilot) allow non-rural HCPs to participate in consortia, HCF requires that each consortium comprise a majority of rural HCP sites,</w:t>
      </w:r>
      <w:r w:rsidR="00E776F5" w:rsidRPr="00B33FD9">
        <w:rPr>
          <w:rStyle w:val="FootnoteReference"/>
        </w:rPr>
        <w:footnoteReference w:id="20"/>
      </w:r>
      <w:r w:rsidR="00E776F5" w:rsidRPr="00B33FD9">
        <w:t xml:space="preserve"> </w:t>
      </w:r>
      <w:r w:rsidR="00CC1007" w:rsidRPr="00B33FD9">
        <w:t xml:space="preserve">and </w:t>
      </w:r>
      <w:r w:rsidR="0021586A">
        <w:t xml:space="preserve">a consortium </w:t>
      </w:r>
      <w:r w:rsidR="00CC1007" w:rsidRPr="00B33FD9">
        <w:t xml:space="preserve">may only increase </w:t>
      </w:r>
      <w:r w:rsidR="00EE610F" w:rsidRPr="00B33FD9">
        <w:t xml:space="preserve">the number of non-rural sites on </w:t>
      </w:r>
      <w:r w:rsidR="0021586A">
        <w:t xml:space="preserve">its </w:t>
      </w:r>
      <w:r w:rsidR="00EE610F" w:rsidRPr="00B33FD9">
        <w:t>network</w:t>
      </w:r>
      <w:r w:rsidR="00CC1007" w:rsidRPr="00B33FD9">
        <w:t xml:space="preserve"> </w:t>
      </w:r>
      <w:r w:rsidR="00EE610F" w:rsidRPr="00B33FD9">
        <w:t xml:space="preserve">under HCF if </w:t>
      </w:r>
      <w:r w:rsidR="0021586A">
        <w:t xml:space="preserve">it </w:t>
      </w:r>
      <w:r w:rsidR="00EE610F" w:rsidRPr="00B33FD9">
        <w:t>meet</w:t>
      </w:r>
      <w:r w:rsidR="0021586A">
        <w:t>s</w:t>
      </w:r>
      <w:r w:rsidR="00EE610F" w:rsidRPr="00B33FD9">
        <w:t xml:space="preserve"> their majority rural</w:t>
      </w:r>
      <w:r w:rsidR="00FA202F">
        <w:t xml:space="preserve"> </w:t>
      </w:r>
      <w:r w:rsidR="00EE610F" w:rsidRPr="00B33FD9">
        <w:t>requirement</w:t>
      </w:r>
      <w:r w:rsidR="00CC1007" w:rsidRPr="00B33FD9">
        <w:t>.</w:t>
      </w:r>
      <w:r w:rsidR="00CC1007" w:rsidRPr="00B33FD9">
        <w:rPr>
          <w:rStyle w:val="FootnoteReference"/>
        </w:rPr>
        <w:footnoteReference w:id="21"/>
      </w:r>
      <w:r w:rsidR="00CC1007" w:rsidRPr="00B33FD9">
        <w:t xml:space="preserve"> </w:t>
      </w:r>
      <w:r w:rsidR="00E776F5" w:rsidRPr="00B33FD9">
        <w:t xml:space="preserve"> </w:t>
      </w:r>
      <w:r w:rsidR="00874B3A">
        <w:t xml:space="preserve"> </w:t>
      </w:r>
      <w:r w:rsidR="00874B3A" w:rsidRPr="00B33FD9">
        <w:t xml:space="preserve">Pilot consortia </w:t>
      </w:r>
      <w:r w:rsidR="0021586A">
        <w:t xml:space="preserve">had to </w:t>
      </w:r>
      <w:r w:rsidR="00874B3A" w:rsidRPr="00B33FD9">
        <w:t xml:space="preserve">have more than a </w:t>
      </w:r>
      <w:r w:rsidR="00874B3A" w:rsidRPr="00B33FD9">
        <w:rPr>
          <w:i/>
        </w:rPr>
        <w:t>de minimis</w:t>
      </w:r>
      <w:r w:rsidR="00874B3A" w:rsidRPr="00B33FD9">
        <w:t xml:space="preserve"> percentage of rural HCPs in their networks</w:t>
      </w:r>
      <w:r w:rsidR="00874B3A">
        <w:t>.</w:t>
      </w:r>
      <w:r w:rsidR="00874B3A" w:rsidRPr="00B33FD9">
        <w:rPr>
          <w:rStyle w:val="FootnoteReference"/>
        </w:rPr>
        <w:footnoteReference w:id="22"/>
      </w:r>
    </w:p>
    <w:p w:rsidR="00542508" w:rsidRPr="00745942" w:rsidRDefault="00542508" w:rsidP="00967674">
      <w:pPr>
        <w:pStyle w:val="ParaNum"/>
        <w:numPr>
          <w:ilvl w:val="0"/>
          <w:numId w:val="0"/>
        </w:numPr>
      </w:pPr>
      <w:r>
        <w:rPr>
          <w:b/>
        </w:rPr>
        <w:t>II.</w:t>
      </w:r>
      <w:r>
        <w:rPr>
          <w:b/>
        </w:rPr>
        <w:tab/>
      </w:r>
      <w:r w:rsidRPr="00CF7448">
        <w:rPr>
          <w:b/>
        </w:rPr>
        <w:t>DISCUSSION</w:t>
      </w:r>
    </w:p>
    <w:p w:rsidR="0045313C" w:rsidRPr="00CD7A3E" w:rsidRDefault="0029369B" w:rsidP="007E4BEF">
      <w:pPr>
        <w:pStyle w:val="ParaNum"/>
      </w:pPr>
      <w:r w:rsidRPr="00CD7A3E">
        <w:t>Consistent with section 54.600(b)(1)</w:t>
      </w:r>
      <w:r w:rsidR="00FB6042" w:rsidRPr="00CD7A3E">
        <w:t xml:space="preserve"> </w:t>
      </w:r>
      <w:r w:rsidRPr="00CD7A3E">
        <w:t>of the Commission’s rules, an</w:t>
      </w:r>
      <w:r w:rsidR="00033EC8" w:rsidRPr="00CD7A3E">
        <w:t>d</w:t>
      </w:r>
      <w:r w:rsidRPr="00CD7A3E">
        <w:t xml:space="preserve"> in accordance with furthering the </w:t>
      </w:r>
      <w:r w:rsidR="0081508A" w:rsidRPr="00CD7A3E">
        <w:t>Commission’s goal</w:t>
      </w:r>
      <w:r w:rsidR="0084690E" w:rsidRPr="00CD7A3E">
        <w:t>s</w:t>
      </w:r>
      <w:r w:rsidR="0081508A" w:rsidRPr="00CD7A3E">
        <w:t xml:space="preserve"> of increasing broadband access for eligible HCPs, particularly those in rural areas,</w:t>
      </w:r>
      <w:r w:rsidR="0081508A" w:rsidRPr="00CD7A3E">
        <w:rPr>
          <w:rStyle w:val="FootnoteReference"/>
        </w:rPr>
        <w:footnoteReference w:id="23"/>
      </w:r>
      <w:r w:rsidR="0081508A" w:rsidRPr="00CD7A3E">
        <w:t xml:space="preserve"> </w:t>
      </w:r>
      <w:r w:rsidR="0021586A" w:rsidRPr="00CD7A3E">
        <w:t>within sixty (60) days of release of this order</w:t>
      </w:r>
      <w:r w:rsidR="0021586A">
        <w:t xml:space="preserve">, </w:t>
      </w:r>
      <w:r w:rsidR="0081508A" w:rsidRPr="00CD7A3E">
        <w:t>we</w:t>
      </w:r>
      <w:r w:rsidR="007E4BEF" w:rsidRPr="00CD7A3E">
        <w:t xml:space="preserve"> will</w:t>
      </w:r>
      <w:r w:rsidR="0081508A" w:rsidRPr="00CD7A3E">
        <w:t xml:space="preserve"> update the list of “rural areas”</w:t>
      </w:r>
      <w:r w:rsidR="00473520" w:rsidRPr="00CD7A3E">
        <w:t xml:space="preserve"> (“Rural Areas List”)</w:t>
      </w:r>
      <w:r w:rsidR="0081508A" w:rsidRPr="00CD7A3E">
        <w:t xml:space="preserve"> to reflect the 2010 decennial census data and </w:t>
      </w:r>
      <w:r w:rsidR="00E3603D" w:rsidRPr="00CD7A3E">
        <w:t xml:space="preserve">most </w:t>
      </w:r>
      <w:r w:rsidR="0081508A" w:rsidRPr="00CD7A3E">
        <w:t>recent OMB CBSA designations</w:t>
      </w:r>
      <w:r w:rsidR="00DA0479" w:rsidRPr="00CD7A3E">
        <w:t>.  Additionally</w:t>
      </w:r>
      <w:r w:rsidR="005F7A72" w:rsidRPr="00CD7A3E">
        <w:t xml:space="preserve">, going forward, </w:t>
      </w:r>
      <w:r w:rsidR="00EF5202" w:rsidRPr="00CD7A3E">
        <w:t xml:space="preserve">we </w:t>
      </w:r>
      <w:r w:rsidR="00D674A2">
        <w:t xml:space="preserve">direct USAC to </w:t>
      </w:r>
      <w:r w:rsidR="005F7A72" w:rsidRPr="00CD7A3E">
        <w:t>update the list as necessary to reflect the most recent decennial census data and nationwide CBSA designations when released</w:t>
      </w:r>
      <w:r w:rsidR="002B0C32" w:rsidRPr="00CD7A3E">
        <w:t xml:space="preserve"> and to post the list on its website</w:t>
      </w:r>
      <w:r w:rsidR="007A0D65">
        <w:t xml:space="preserve"> </w:t>
      </w:r>
      <w:r w:rsidR="001D7B9E">
        <w:t>within 60 days after the updated data is available from the Census Bureau or OMB</w:t>
      </w:r>
      <w:r w:rsidR="008A7469" w:rsidRPr="00CF7448">
        <w:t>.</w:t>
      </w:r>
      <w:r w:rsidR="0057498E" w:rsidRPr="00CD7A3E">
        <w:rPr>
          <w:rStyle w:val="FootnoteReference"/>
        </w:rPr>
        <w:footnoteReference w:id="24"/>
      </w:r>
      <w:r w:rsidR="0030424A" w:rsidRPr="00CF7448">
        <w:t xml:space="preserve">  </w:t>
      </w:r>
    </w:p>
    <w:p w:rsidR="003A1B89" w:rsidRPr="00B33FD9" w:rsidRDefault="003A1B89">
      <w:pPr>
        <w:pStyle w:val="ParaNum"/>
      </w:pPr>
      <w:r w:rsidRPr="00CD7A3E">
        <w:t>We note that th</w:t>
      </w:r>
      <w:r w:rsidR="00221BF3" w:rsidRPr="00CD7A3E">
        <w:t xml:space="preserve">is </w:t>
      </w:r>
      <w:r w:rsidR="00D03011" w:rsidRPr="00CD7A3E">
        <w:t>Order</w:t>
      </w:r>
      <w:r w:rsidR="00221BF3" w:rsidRPr="00CD7A3E">
        <w:t xml:space="preserve"> does not </w:t>
      </w:r>
      <w:r w:rsidRPr="00CD7A3E">
        <w:t>modify the definition of “rural</w:t>
      </w:r>
      <w:r w:rsidR="00C51FCA" w:rsidRPr="00CD7A3E">
        <w:t xml:space="preserve"> areas</w:t>
      </w:r>
      <w:r w:rsidRPr="00CD7A3E">
        <w:t xml:space="preserve">” in the RHC program, but instead </w:t>
      </w:r>
      <w:r w:rsidR="00E57372">
        <w:t xml:space="preserve">merely implements the existing rule and reminds </w:t>
      </w:r>
      <w:r w:rsidR="00221BF3" w:rsidRPr="00CD7A3E">
        <w:t xml:space="preserve">applicants </w:t>
      </w:r>
      <w:r w:rsidR="002F3CA0" w:rsidRPr="00CD7A3E">
        <w:t xml:space="preserve">that </w:t>
      </w:r>
      <w:r w:rsidR="00221BF3" w:rsidRPr="00CD7A3E">
        <w:t xml:space="preserve">the </w:t>
      </w:r>
      <w:r w:rsidRPr="00CD7A3E">
        <w:t>list of qualifying rural areas</w:t>
      </w:r>
      <w:r w:rsidR="007C2E4A" w:rsidRPr="00CD7A3E">
        <w:t xml:space="preserve"> </w:t>
      </w:r>
      <w:r w:rsidR="00221BF3" w:rsidRPr="00CD7A3E">
        <w:t xml:space="preserve">will be maintained </w:t>
      </w:r>
      <w:r w:rsidR="00796DC1" w:rsidRPr="00CD7A3E">
        <w:t xml:space="preserve">and updated </w:t>
      </w:r>
      <w:r w:rsidR="00E57372">
        <w:t xml:space="preserve">periodically </w:t>
      </w:r>
      <w:r w:rsidR="00221BF3" w:rsidRPr="00CD7A3E">
        <w:t xml:space="preserve">as </w:t>
      </w:r>
      <w:r w:rsidR="007C2E4A" w:rsidRPr="00CD7A3E">
        <w:t>required by the Commission</w:t>
      </w:r>
      <w:r w:rsidR="00796DC1" w:rsidRPr="00CD7A3E">
        <w:t>’s rules</w:t>
      </w:r>
      <w:r w:rsidRPr="00CD7A3E">
        <w:t xml:space="preserve">.  </w:t>
      </w:r>
      <w:r w:rsidR="00AC1F7B" w:rsidRPr="00CD7A3E">
        <w:t>W</w:t>
      </w:r>
      <w:r w:rsidRPr="00CD7A3E">
        <w:t>e expect the number of HCP sites affected by each update to</w:t>
      </w:r>
      <w:r w:rsidR="007C2E4A" w:rsidRPr="00CD7A3E">
        <w:t xml:space="preserve"> be small.</w:t>
      </w:r>
      <w:r w:rsidR="005940CC" w:rsidRPr="00CD7A3E">
        <w:rPr>
          <w:rStyle w:val="FootnoteReference"/>
        </w:rPr>
        <w:footnoteReference w:id="25"/>
      </w:r>
      <w:r w:rsidR="005940CC" w:rsidRPr="00CD7A3E">
        <w:t xml:space="preserve"> </w:t>
      </w:r>
      <w:r w:rsidR="00D76ED1">
        <w:t xml:space="preserve"> </w:t>
      </w:r>
      <w:r w:rsidR="00114A1E" w:rsidRPr="00CD7A3E">
        <w:t>N</w:t>
      </w:r>
      <w:r w:rsidR="0030424A" w:rsidRPr="00CD7A3E">
        <w:t>evertheless</w:t>
      </w:r>
      <w:r w:rsidR="00114A1E" w:rsidRPr="00CD7A3E">
        <w:t>,</w:t>
      </w:r>
      <w:r w:rsidR="002837EE" w:rsidRPr="00CD7A3E">
        <w:t xml:space="preserve"> </w:t>
      </w:r>
      <w:r w:rsidR="00EF5202">
        <w:t xml:space="preserve">consistent with Commission precedent when </w:t>
      </w:r>
      <w:r w:rsidR="000D2BDE">
        <w:t xml:space="preserve">it adopted a new </w:t>
      </w:r>
      <w:r w:rsidR="00EF5202">
        <w:t>definition of “rural areas” in 2004, we take further action discussed below</w:t>
      </w:r>
      <w:r w:rsidR="005A25A1" w:rsidRPr="005940CC">
        <w:t xml:space="preserve"> to ensure that </w:t>
      </w:r>
      <w:r w:rsidR="00851885" w:rsidRPr="005940CC">
        <w:t>HCPs whose status may change as a result of the rural areas update have sufficient</w:t>
      </w:r>
      <w:r w:rsidR="00851885">
        <w:t xml:space="preserve"> time and </w:t>
      </w:r>
      <w:r w:rsidR="00851885" w:rsidRPr="00B33FD9">
        <w:t xml:space="preserve">notice </w:t>
      </w:r>
      <w:r w:rsidR="00851885">
        <w:t>to address the impact of th</w:t>
      </w:r>
      <w:r w:rsidR="005A25A1">
        <w:t xml:space="preserve">e </w:t>
      </w:r>
      <w:r w:rsidR="009C39E9">
        <w:t>change</w:t>
      </w:r>
      <w:r w:rsidR="005A25A1">
        <w:t xml:space="preserve"> on </w:t>
      </w:r>
      <w:r w:rsidR="002837EE">
        <w:t>t</w:t>
      </w:r>
      <w:r w:rsidR="00851885">
        <w:t>heir business</w:t>
      </w:r>
      <w:r w:rsidR="0030424A">
        <w:t xml:space="preserve"> operations and delivery of healthcare</w:t>
      </w:r>
      <w:r w:rsidR="005A25A1">
        <w:t>.</w:t>
      </w:r>
      <w:r w:rsidR="00851885">
        <w:t xml:space="preserve"> </w:t>
      </w:r>
    </w:p>
    <w:p w:rsidR="0030083E" w:rsidRPr="00B33FD9" w:rsidRDefault="002D6FFB" w:rsidP="00564C47">
      <w:pPr>
        <w:pStyle w:val="ParaNum"/>
      </w:pPr>
      <w:r>
        <w:rPr>
          <w:i/>
        </w:rPr>
        <w:t xml:space="preserve"> </w:t>
      </w:r>
      <w:r w:rsidR="00313C91">
        <w:rPr>
          <w:i/>
        </w:rPr>
        <w:t xml:space="preserve">Limited Waiver of Rural Areas List for Program </w:t>
      </w:r>
      <w:r w:rsidR="002837EE">
        <w:rPr>
          <w:i/>
        </w:rPr>
        <w:t>Participants</w:t>
      </w:r>
      <w:r w:rsidR="00313C91">
        <w:rPr>
          <w:i/>
        </w:rPr>
        <w:t xml:space="preserve"> </w:t>
      </w:r>
      <w:r>
        <w:rPr>
          <w:i/>
        </w:rPr>
        <w:t xml:space="preserve">Transitioning </w:t>
      </w:r>
      <w:r w:rsidR="00313C91">
        <w:rPr>
          <w:i/>
        </w:rPr>
        <w:t xml:space="preserve">from Rural to Non-Rural </w:t>
      </w:r>
      <w:r>
        <w:rPr>
          <w:i/>
        </w:rPr>
        <w:t>Status</w:t>
      </w:r>
      <w:r w:rsidR="005940CC">
        <w:rPr>
          <w:i/>
        </w:rPr>
        <w:t>.</w:t>
      </w:r>
      <w:r>
        <w:rPr>
          <w:i/>
        </w:rPr>
        <w:t xml:space="preserve"> </w:t>
      </w:r>
      <w:r w:rsidR="005A25A1">
        <w:t xml:space="preserve"> </w:t>
      </w:r>
      <w:r w:rsidR="005C776D" w:rsidRPr="00B33FD9">
        <w:t xml:space="preserve">We recognize that the effect of updating the </w:t>
      </w:r>
      <w:r w:rsidR="00CF4AFF" w:rsidRPr="00B33FD9">
        <w:t>R</w:t>
      </w:r>
      <w:r w:rsidR="005C776D" w:rsidRPr="00B33FD9">
        <w:t xml:space="preserve">ural </w:t>
      </w:r>
      <w:r w:rsidR="00CF4AFF" w:rsidRPr="00B33FD9">
        <w:t>A</w:t>
      </w:r>
      <w:r w:rsidR="005C776D" w:rsidRPr="00B33FD9">
        <w:t xml:space="preserve">reas </w:t>
      </w:r>
      <w:r w:rsidR="00CF4AFF" w:rsidRPr="00B33FD9">
        <w:t>L</w:t>
      </w:r>
      <w:r w:rsidR="005C776D" w:rsidRPr="00B33FD9">
        <w:t xml:space="preserve">ist in the RHC program may </w:t>
      </w:r>
      <w:r w:rsidR="002218A9" w:rsidRPr="00B33FD9">
        <w:t>be that some</w:t>
      </w:r>
      <w:r w:rsidR="005C776D" w:rsidRPr="00B33FD9">
        <w:t xml:space="preserve"> program participants that </w:t>
      </w:r>
      <w:r w:rsidR="002218A9" w:rsidRPr="00B33FD9">
        <w:t>were previously</w:t>
      </w:r>
      <w:r w:rsidR="005C776D" w:rsidRPr="00B33FD9">
        <w:t xml:space="preserve"> determined to be “rural”</w:t>
      </w:r>
      <w:r w:rsidR="002218A9" w:rsidRPr="00B33FD9">
        <w:t xml:space="preserve"> will </w:t>
      </w:r>
      <w:r w:rsidR="005C776D" w:rsidRPr="00B33FD9">
        <w:t>be</w:t>
      </w:r>
      <w:r w:rsidR="00656658" w:rsidRPr="00B33FD9">
        <w:t>come</w:t>
      </w:r>
      <w:r w:rsidR="005C776D" w:rsidRPr="00B33FD9">
        <w:t xml:space="preserve"> “non-rural</w:t>
      </w:r>
      <w:r w:rsidR="0081508A" w:rsidRPr="00B33FD9">
        <w:t>.</w:t>
      </w:r>
      <w:r w:rsidR="005C776D" w:rsidRPr="00B33FD9">
        <w:t xml:space="preserve">”  </w:t>
      </w:r>
      <w:r w:rsidR="00295C7D" w:rsidRPr="00B33FD9">
        <w:t>Many of these sites</w:t>
      </w:r>
      <w:r w:rsidR="002F3CA0" w:rsidRPr="00B33FD9">
        <w:t xml:space="preserve"> play an important role in delivering health care </w:t>
      </w:r>
      <w:r w:rsidR="00E60BB8" w:rsidRPr="00B33FD9">
        <w:t xml:space="preserve">and </w:t>
      </w:r>
      <w:r w:rsidR="00C56A28" w:rsidRPr="00B33FD9">
        <w:t>a change</w:t>
      </w:r>
      <w:r w:rsidR="00E60BB8" w:rsidRPr="00B33FD9">
        <w:t xml:space="preserve"> in eligibility due to the loss of </w:t>
      </w:r>
      <w:r w:rsidR="00E3603D">
        <w:t xml:space="preserve">an HCP’s </w:t>
      </w:r>
      <w:r w:rsidR="00E60BB8" w:rsidRPr="00B33FD9">
        <w:t xml:space="preserve">“rural” status could have a serious effect on </w:t>
      </w:r>
      <w:r w:rsidR="00E3603D">
        <w:t>its</w:t>
      </w:r>
      <w:r w:rsidR="00E60BB8" w:rsidRPr="00B33FD9">
        <w:t xml:space="preserve"> ability to deliver needed health care services to patients in </w:t>
      </w:r>
      <w:r w:rsidR="005D68BE">
        <w:t>a given</w:t>
      </w:r>
      <w:r w:rsidR="00E60BB8" w:rsidRPr="00B33FD9">
        <w:t xml:space="preserve"> area.  </w:t>
      </w:r>
      <w:r w:rsidR="00E57372">
        <w:t>As the Commission concluded in 2004, w</w:t>
      </w:r>
      <w:r w:rsidR="009029C8" w:rsidRPr="00B33FD9">
        <w:t>e find that these particular facts would make strict compliance inconsisten</w:t>
      </w:r>
      <w:r w:rsidR="00E3603D">
        <w:t>t with the public interest</w:t>
      </w:r>
      <w:r w:rsidR="0021586A">
        <w:t>, and a transition period is necessary</w:t>
      </w:r>
      <w:r w:rsidR="00E3603D">
        <w:t>.  T</w:t>
      </w:r>
      <w:r w:rsidR="009029C8" w:rsidRPr="00B33FD9">
        <w:t>herefore</w:t>
      </w:r>
      <w:r w:rsidR="00E60BB8" w:rsidRPr="00B33FD9">
        <w:t>,</w:t>
      </w:r>
      <w:r w:rsidR="009029C8" w:rsidRPr="00B33FD9">
        <w:t xml:space="preserve"> </w:t>
      </w:r>
      <w:r w:rsidR="00E60BB8" w:rsidRPr="00B33FD9">
        <w:t xml:space="preserve">on </w:t>
      </w:r>
      <w:r w:rsidR="00BA2B90">
        <w:t>our</w:t>
      </w:r>
      <w:r w:rsidR="00E60BB8" w:rsidRPr="00B33FD9">
        <w:t xml:space="preserve"> own motion, </w:t>
      </w:r>
      <w:r w:rsidR="00BA2B90">
        <w:t xml:space="preserve">we </w:t>
      </w:r>
      <w:r w:rsidR="009029C8" w:rsidRPr="00B33FD9">
        <w:t xml:space="preserve">grant </w:t>
      </w:r>
      <w:r w:rsidR="00313619" w:rsidRPr="00B33FD9">
        <w:t>a limited</w:t>
      </w:r>
      <w:r w:rsidR="009029C8" w:rsidRPr="00B33FD9">
        <w:t xml:space="preserve"> waiver of section 54.600(b)(1), for those participating HCPs </w:t>
      </w:r>
      <w:r w:rsidR="00313619" w:rsidRPr="00B33FD9">
        <w:t>that</w:t>
      </w:r>
      <w:r w:rsidR="009029C8" w:rsidRPr="00B33FD9">
        <w:t xml:space="preserve"> </w:t>
      </w:r>
      <w:r w:rsidR="00AB2E68" w:rsidRPr="00B33FD9">
        <w:t>have already</w:t>
      </w:r>
      <w:r w:rsidR="009029C8" w:rsidRPr="00B33FD9">
        <w:t xml:space="preserve"> received an eligibility determination and whose status change</w:t>
      </w:r>
      <w:r w:rsidR="00AB2E68" w:rsidRPr="00B33FD9">
        <w:t>s</w:t>
      </w:r>
      <w:r w:rsidR="009029C8" w:rsidRPr="00B33FD9">
        <w:t xml:space="preserve"> from “rural” to “non-rural”</w:t>
      </w:r>
      <w:r w:rsidR="00AB2E68" w:rsidRPr="00B33FD9">
        <w:t xml:space="preserve"> as a result of updating the Rural Areas List.  </w:t>
      </w:r>
      <w:r w:rsidR="00E3603D">
        <w:t>T</w:t>
      </w:r>
      <w:r w:rsidR="00AB2E68" w:rsidRPr="00B33FD9">
        <w:t xml:space="preserve">his waiver will temporarily allow </w:t>
      </w:r>
      <w:r w:rsidR="00175038" w:rsidRPr="00B33FD9">
        <w:t>HCP sites that have</w:t>
      </w:r>
      <w:r w:rsidR="00C9208B" w:rsidRPr="00B33FD9">
        <w:t xml:space="preserve"> already been determined to b</w:t>
      </w:r>
      <w:r w:rsidR="007370DC" w:rsidRPr="00B33FD9">
        <w:t>e</w:t>
      </w:r>
      <w:r w:rsidR="00C9208B" w:rsidRPr="00B33FD9">
        <w:t xml:space="preserve"> </w:t>
      </w:r>
      <w:r w:rsidR="007370DC" w:rsidRPr="00B33FD9">
        <w:t>“</w:t>
      </w:r>
      <w:r w:rsidR="00C9208B" w:rsidRPr="00B33FD9">
        <w:t>rural</w:t>
      </w:r>
      <w:r w:rsidR="007370DC" w:rsidRPr="00B33FD9">
        <w:t>”</w:t>
      </w:r>
      <w:r w:rsidR="00C9208B" w:rsidRPr="00B33FD9">
        <w:t xml:space="preserve"> </w:t>
      </w:r>
      <w:r w:rsidR="00796DC1" w:rsidRPr="00B33FD9">
        <w:t xml:space="preserve">to </w:t>
      </w:r>
      <w:r w:rsidR="00175038" w:rsidRPr="00B33FD9">
        <w:t xml:space="preserve">seek funding for the </w:t>
      </w:r>
      <w:r w:rsidR="00C9208B" w:rsidRPr="00B33FD9">
        <w:t xml:space="preserve">remainder of </w:t>
      </w:r>
      <w:r w:rsidR="0013042D" w:rsidRPr="00B33FD9">
        <w:t xml:space="preserve">the funding year in which the update </w:t>
      </w:r>
      <w:r w:rsidR="0021586A">
        <w:t>occurs</w:t>
      </w:r>
      <w:r w:rsidR="0013042D" w:rsidRPr="00B33FD9">
        <w:t xml:space="preserve"> and </w:t>
      </w:r>
      <w:r w:rsidR="00C56A28" w:rsidRPr="00B33FD9">
        <w:t xml:space="preserve">the following </w:t>
      </w:r>
      <w:r w:rsidR="0013042D" w:rsidRPr="00B33FD9">
        <w:t xml:space="preserve">funding year </w:t>
      </w:r>
      <w:r w:rsidR="00C9208B" w:rsidRPr="00B33FD9">
        <w:t xml:space="preserve">as they transition </w:t>
      </w:r>
      <w:r w:rsidR="005B54C9" w:rsidRPr="00B33FD9">
        <w:t>into their new status</w:t>
      </w:r>
      <w:r w:rsidR="00366E9C" w:rsidRPr="00B33FD9">
        <w:t>.</w:t>
      </w:r>
      <w:r w:rsidR="00C9208B" w:rsidRPr="00B33FD9">
        <w:t xml:space="preserve">  </w:t>
      </w:r>
      <w:r w:rsidR="00313619" w:rsidRPr="00B33FD9">
        <w:t>F</w:t>
      </w:r>
      <w:r w:rsidR="0013042D" w:rsidRPr="00B33FD9">
        <w:t>or example, former</w:t>
      </w:r>
      <w:r w:rsidR="00656658" w:rsidRPr="00B33FD9">
        <w:t>ly</w:t>
      </w:r>
      <w:r w:rsidR="0013042D" w:rsidRPr="00B33FD9">
        <w:t xml:space="preserve"> </w:t>
      </w:r>
      <w:r w:rsidR="002218A9" w:rsidRPr="00B33FD9">
        <w:t>“</w:t>
      </w:r>
      <w:r w:rsidR="0013042D" w:rsidRPr="00B33FD9">
        <w:t>rural</w:t>
      </w:r>
      <w:r w:rsidR="002218A9" w:rsidRPr="00B33FD9">
        <w:t>”</w:t>
      </w:r>
      <w:r w:rsidR="0013042D" w:rsidRPr="00B33FD9">
        <w:t xml:space="preserve"> sites that are determined to be</w:t>
      </w:r>
      <w:r w:rsidR="002218A9" w:rsidRPr="00B33FD9">
        <w:t xml:space="preserve"> “</w:t>
      </w:r>
      <w:r w:rsidR="0013042D" w:rsidRPr="00B33FD9">
        <w:t>non-rural</w:t>
      </w:r>
      <w:r w:rsidR="002218A9" w:rsidRPr="00B33FD9">
        <w:t>”</w:t>
      </w:r>
      <w:r w:rsidR="0013042D" w:rsidRPr="00B33FD9">
        <w:t xml:space="preserve"> after USAC updates the rural areas</w:t>
      </w:r>
      <w:r w:rsidR="002218A9" w:rsidRPr="00B33FD9">
        <w:t xml:space="preserve"> in Funding Year 201</w:t>
      </w:r>
      <w:r w:rsidR="00E57372">
        <w:t>4</w:t>
      </w:r>
      <w:r w:rsidR="0013042D" w:rsidRPr="00B33FD9">
        <w:t xml:space="preserve"> </w:t>
      </w:r>
      <w:r w:rsidR="00656658" w:rsidRPr="00B33FD9">
        <w:t xml:space="preserve">with </w:t>
      </w:r>
      <w:r w:rsidR="00AD1FF1" w:rsidRPr="00B33FD9">
        <w:t xml:space="preserve">the </w:t>
      </w:r>
      <w:r w:rsidR="00656658" w:rsidRPr="00B33FD9">
        <w:t>2010 census data and CBSA data</w:t>
      </w:r>
      <w:r w:rsidR="002218A9" w:rsidRPr="00B33FD9">
        <w:t>, as instructed above,</w:t>
      </w:r>
      <w:r w:rsidR="00656658" w:rsidRPr="00B33FD9">
        <w:t xml:space="preserve"> will be eligible to seek support for the r</w:t>
      </w:r>
      <w:r w:rsidR="0013042D" w:rsidRPr="00B33FD9">
        <w:t>emainder of Funding Year 201</w:t>
      </w:r>
      <w:r w:rsidR="00E57372">
        <w:t>4</w:t>
      </w:r>
      <w:r w:rsidR="0013042D" w:rsidRPr="00B33FD9">
        <w:t xml:space="preserve"> </w:t>
      </w:r>
      <w:r w:rsidR="002218A9" w:rsidRPr="00B33FD9">
        <w:t xml:space="preserve">(until June 30, </w:t>
      </w:r>
      <w:r w:rsidR="00FA202F" w:rsidRPr="00B33FD9">
        <w:t>201</w:t>
      </w:r>
      <w:r w:rsidR="00E57372">
        <w:t>5</w:t>
      </w:r>
      <w:r w:rsidR="002218A9" w:rsidRPr="00B33FD9">
        <w:t xml:space="preserve">) </w:t>
      </w:r>
      <w:r w:rsidR="0013042D" w:rsidRPr="00B33FD9">
        <w:t xml:space="preserve">and </w:t>
      </w:r>
      <w:r w:rsidR="00C56A28" w:rsidRPr="00B33FD9">
        <w:t xml:space="preserve">the following funding year, </w:t>
      </w:r>
      <w:r w:rsidR="0013042D" w:rsidRPr="00B33FD9">
        <w:t>Funding Year 201</w:t>
      </w:r>
      <w:r w:rsidR="00E57372">
        <w:t>5</w:t>
      </w:r>
      <w:r w:rsidR="002218A9" w:rsidRPr="00B33FD9">
        <w:t xml:space="preserve"> (July 1</w:t>
      </w:r>
      <w:r w:rsidR="005B54C9" w:rsidRPr="00B33FD9">
        <w:t xml:space="preserve">, </w:t>
      </w:r>
      <w:r w:rsidR="00FA202F" w:rsidRPr="00B33FD9">
        <w:t>201</w:t>
      </w:r>
      <w:r w:rsidR="00E57372">
        <w:t>5</w:t>
      </w:r>
      <w:r w:rsidR="002218A9" w:rsidRPr="00B33FD9">
        <w:t>-June</w:t>
      </w:r>
      <w:r w:rsidR="005B54C9" w:rsidRPr="00B33FD9">
        <w:t xml:space="preserve"> </w:t>
      </w:r>
      <w:r w:rsidR="002218A9" w:rsidRPr="00B33FD9">
        <w:t xml:space="preserve">30, </w:t>
      </w:r>
      <w:r w:rsidR="00FA202F" w:rsidRPr="00B33FD9">
        <w:t>201</w:t>
      </w:r>
      <w:r w:rsidR="00E57372">
        <w:t>6</w:t>
      </w:r>
      <w:r w:rsidR="002218A9" w:rsidRPr="00B33FD9">
        <w:t xml:space="preserve">).  </w:t>
      </w:r>
      <w:r w:rsidR="00313619" w:rsidRPr="00B33FD9">
        <w:t>We note that all sites that submit annual funding requests should follow this procedure, including those covered by “evergreen contracts.”</w:t>
      </w:r>
      <w:r w:rsidR="00313619" w:rsidRPr="00B33FD9">
        <w:rPr>
          <w:rStyle w:val="FootnoteReference"/>
        </w:rPr>
        <w:footnoteReference w:id="26"/>
      </w:r>
      <w:r w:rsidR="00313619" w:rsidRPr="00B33FD9">
        <w:t xml:space="preserve">  </w:t>
      </w:r>
      <w:r w:rsidR="002218A9" w:rsidRPr="00B33FD9">
        <w:t xml:space="preserve">We </w:t>
      </w:r>
      <w:r w:rsidR="00F934CB" w:rsidRPr="00B33FD9">
        <w:t>direct</w:t>
      </w:r>
      <w:r w:rsidR="002218A9" w:rsidRPr="00B33FD9">
        <w:t xml:space="preserve"> USAC to follow the same procedures for RHC program participants</w:t>
      </w:r>
      <w:r w:rsidR="005B54C9" w:rsidRPr="00B33FD9">
        <w:t xml:space="preserve"> in the future</w:t>
      </w:r>
      <w:r w:rsidR="002218A9" w:rsidRPr="00B33FD9">
        <w:t xml:space="preserve"> that change from “rural” to “non-rural” status as a result of updates to the </w:t>
      </w:r>
      <w:r w:rsidR="005B54C9" w:rsidRPr="00B33FD9">
        <w:t>R</w:t>
      </w:r>
      <w:r w:rsidR="002218A9" w:rsidRPr="00B33FD9">
        <w:t xml:space="preserve">ural </w:t>
      </w:r>
      <w:r w:rsidR="005B54C9" w:rsidRPr="00B33FD9">
        <w:t>A</w:t>
      </w:r>
      <w:r w:rsidR="002218A9" w:rsidRPr="00B33FD9">
        <w:t xml:space="preserve">reas </w:t>
      </w:r>
      <w:r w:rsidR="005B54C9" w:rsidRPr="00B33FD9">
        <w:t>L</w:t>
      </w:r>
      <w:r w:rsidR="002218A9" w:rsidRPr="00B33FD9">
        <w:t xml:space="preserve">ist. </w:t>
      </w:r>
    </w:p>
    <w:p w:rsidR="00A26153" w:rsidRPr="00B33FD9" w:rsidRDefault="002218A9">
      <w:pPr>
        <w:pStyle w:val="ParaNum"/>
      </w:pPr>
      <w:r w:rsidRPr="00B33FD9">
        <w:t xml:space="preserve">We </w:t>
      </w:r>
      <w:r w:rsidR="00C9208B" w:rsidRPr="00B33FD9">
        <w:t xml:space="preserve">find that transitioning formerly </w:t>
      </w:r>
      <w:r w:rsidR="0084690E" w:rsidRPr="00B33FD9">
        <w:t>“</w:t>
      </w:r>
      <w:r w:rsidR="00C9208B" w:rsidRPr="00B33FD9">
        <w:t>rural</w:t>
      </w:r>
      <w:r w:rsidR="0084690E" w:rsidRPr="00B33FD9">
        <w:t>”</w:t>
      </w:r>
      <w:r w:rsidR="00C9208B" w:rsidRPr="00B33FD9">
        <w:t xml:space="preserve"> sites in this way will provide HCPs currently participating in the RHC program </w:t>
      </w:r>
      <w:r w:rsidR="00CE55BF" w:rsidRPr="00B33FD9">
        <w:t xml:space="preserve">with </w:t>
      </w:r>
      <w:r w:rsidR="00C9208B" w:rsidRPr="00B33FD9">
        <w:t xml:space="preserve">notice and sufficient time to determine whether their status as a </w:t>
      </w:r>
      <w:r w:rsidR="0084690E" w:rsidRPr="00B33FD9">
        <w:t>“</w:t>
      </w:r>
      <w:r w:rsidR="00C9208B" w:rsidRPr="00B33FD9">
        <w:t>rural</w:t>
      </w:r>
      <w:r w:rsidR="0084690E" w:rsidRPr="00B33FD9">
        <w:t>”</w:t>
      </w:r>
      <w:r w:rsidR="00C9208B" w:rsidRPr="00B33FD9">
        <w:t xml:space="preserve"> site will change, and to address any implications of this in their business operations.  </w:t>
      </w:r>
      <w:r w:rsidR="00F934CB" w:rsidRPr="00B33FD9">
        <w:t>T</w:t>
      </w:r>
      <w:r w:rsidR="00CE55BF" w:rsidRPr="00B33FD9">
        <w:t xml:space="preserve">ransitioning HCPs will remain connected as they consider how best to go forward, either on their own or potentially as part of a </w:t>
      </w:r>
      <w:r w:rsidR="0081508A" w:rsidRPr="00B33FD9">
        <w:t>HCF</w:t>
      </w:r>
      <w:r w:rsidR="00F934CB" w:rsidRPr="00B33FD9">
        <w:t>-supported network.</w:t>
      </w:r>
      <w:bookmarkStart w:id="1" w:name="_Ref385860303"/>
      <w:r w:rsidR="00F934CB" w:rsidRPr="00B33FD9">
        <w:rPr>
          <w:rStyle w:val="FootnoteReference"/>
        </w:rPr>
        <w:footnoteReference w:id="27"/>
      </w:r>
      <w:bookmarkEnd w:id="1"/>
      <w:r w:rsidR="00F934CB" w:rsidRPr="00B33FD9">
        <w:t xml:space="preserve"> </w:t>
      </w:r>
      <w:r w:rsidR="00CE55BF" w:rsidRPr="00B33FD9">
        <w:t xml:space="preserve"> Thus, this support will help maintain the </w:t>
      </w:r>
      <w:r w:rsidR="00CE55BF" w:rsidRPr="00B33FD9">
        <w:rPr>
          <w:i/>
        </w:rPr>
        <w:t>status quo</w:t>
      </w:r>
      <w:r w:rsidR="00CE55BF" w:rsidRPr="00B33FD9">
        <w:t xml:space="preserve"> for many patients and communities that benefit from the telemedicine and telehealth applicants provided by the HCPs</w:t>
      </w:r>
      <w:r w:rsidR="00F934CB" w:rsidRPr="00B33FD9">
        <w:t xml:space="preserve"> participating in the RHC programs</w:t>
      </w:r>
      <w:r w:rsidR="00CE55BF" w:rsidRPr="00B33FD9">
        <w:t xml:space="preserve">.  </w:t>
      </w:r>
      <w:r w:rsidR="0030083E" w:rsidRPr="00B33FD9">
        <w:t xml:space="preserve">We also note that updates to the </w:t>
      </w:r>
      <w:r w:rsidR="007E7F90">
        <w:t>R</w:t>
      </w:r>
      <w:r w:rsidR="0030083E" w:rsidRPr="00B33FD9">
        <w:t xml:space="preserve">ural </w:t>
      </w:r>
      <w:r w:rsidR="007E7F90">
        <w:t>A</w:t>
      </w:r>
      <w:r w:rsidR="0030083E" w:rsidRPr="00B33FD9">
        <w:t xml:space="preserve">reas </w:t>
      </w:r>
      <w:r w:rsidR="007E7F90">
        <w:t>L</w:t>
      </w:r>
      <w:r w:rsidR="0030083E" w:rsidRPr="00B33FD9">
        <w:t xml:space="preserve">ist may change the status </w:t>
      </w:r>
      <w:r w:rsidR="00C56A28" w:rsidRPr="00B33FD9">
        <w:t xml:space="preserve">of </w:t>
      </w:r>
      <w:r w:rsidR="0030083E" w:rsidRPr="00B33FD9">
        <w:t xml:space="preserve">areas that were previously </w:t>
      </w:r>
      <w:r w:rsidR="00C51FCA" w:rsidRPr="00B33FD9">
        <w:t>“</w:t>
      </w:r>
      <w:r w:rsidR="0030083E" w:rsidRPr="00B33FD9">
        <w:t>non-rural</w:t>
      </w:r>
      <w:r w:rsidR="00C51FCA" w:rsidRPr="00B33FD9">
        <w:t>”</w:t>
      </w:r>
      <w:r w:rsidR="0030083E" w:rsidRPr="00B33FD9">
        <w:t xml:space="preserve"> to </w:t>
      </w:r>
      <w:r w:rsidR="00C51FCA" w:rsidRPr="00B33FD9">
        <w:t>“</w:t>
      </w:r>
      <w:r w:rsidR="0030083E" w:rsidRPr="00B33FD9">
        <w:t>rural.</w:t>
      </w:r>
      <w:r w:rsidR="00C51FCA" w:rsidRPr="00B33FD9">
        <w:t>”</w:t>
      </w:r>
      <w:r w:rsidR="0030083E" w:rsidRPr="00B33FD9">
        <w:t xml:space="preserve">  HCP sites in these newly “rural” areas will be eligible to seek RHC support, assuming they meet all other requirements of the RHC programs, immediately upon posting of the updated Rural Areas List</w:t>
      </w:r>
      <w:r w:rsidR="00C56A28" w:rsidRPr="00B33FD9">
        <w:t xml:space="preserve"> on USAC’s website</w:t>
      </w:r>
      <w:r w:rsidR="0030083E" w:rsidRPr="00B33FD9">
        <w:t>.</w:t>
      </w:r>
    </w:p>
    <w:p w:rsidR="001340B8" w:rsidRPr="00B33FD9" w:rsidRDefault="00313C91" w:rsidP="001A5F96">
      <w:pPr>
        <w:pStyle w:val="ParaNum"/>
      </w:pPr>
      <w:r w:rsidRPr="001A5F96">
        <w:rPr>
          <w:i/>
        </w:rPr>
        <w:t xml:space="preserve">Effect of Updated Rural Areas List on the Majority Rural Requirement for </w:t>
      </w:r>
      <w:r w:rsidR="00014EFD" w:rsidRPr="001A5F96">
        <w:rPr>
          <w:i/>
        </w:rPr>
        <w:t>Consortia</w:t>
      </w:r>
      <w:r w:rsidR="00A5557F" w:rsidRPr="00B33FD9">
        <w:t xml:space="preserve">.  </w:t>
      </w:r>
      <w:r w:rsidR="00C56A28" w:rsidRPr="00B33FD9">
        <w:t>Consistent with our instructions above, w</w:t>
      </w:r>
      <w:r w:rsidR="00C220BB" w:rsidRPr="00B33FD9">
        <w:t>e also</w:t>
      </w:r>
      <w:r w:rsidR="00766024" w:rsidRPr="00B33FD9">
        <w:t xml:space="preserve"> direct USAC to maintain </w:t>
      </w:r>
      <w:r w:rsidR="0084690E" w:rsidRPr="00B33FD9">
        <w:t xml:space="preserve">for a limited </w:t>
      </w:r>
      <w:r w:rsidR="00520499" w:rsidRPr="00B33FD9">
        <w:t xml:space="preserve">period of time </w:t>
      </w:r>
      <w:r w:rsidR="00766024" w:rsidRPr="00B33FD9">
        <w:t xml:space="preserve">the </w:t>
      </w:r>
      <w:r w:rsidR="00240909" w:rsidRPr="00B33FD9">
        <w:t>“</w:t>
      </w:r>
      <w:r w:rsidR="00766024" w:rsidRPr="00B33FD9">
        <w:t>rural</w:t>
      </w:r>
      <w:r w:rsidR="00240909" w:rsidRPr="00B33FD9">
        <w:t>”</w:t>
      </w:r>
      <w:r w:rsidR="00766024" w:rsidRPr="00B33FD9">
        <w:t xml:space="preserve"> </w:t>
      </w:r>
      <w:r w:rsidR="00240909" w:rsidRPr="00B33FD9">
        <w:t xml:space="preserve">status </w:t>
      </w:r>
      <w:r w:rsidR="00766024" w:rsidRPr="00B33FD9">
        <w:t xml:space="preserve">of sites that are transitioning to </w:t>
      </w:r>
      <w:r w:rsidR="00240909" w:rsidRPr="00B33FD9">
        <w:t>“</w:t>
      </w:r>
      <w:r w:rsidR="00766024" w:rsidRPr="00B33FD9">
        <w:t>non-rural</w:t>
      </w:r>
      <w:r w:rsidR="0084690E" w:rsidRPr="00B33FD9">
        <w:t>”</w:t>
      </w:r>
      <w:r w:rsidR="00766024" w:rsidRPr="00B33FD9">
        <w:t xml:space="preserve"> status so that consortia have time to </w:t>
      </w:r>
      <w:r w:rsidR="00711E75" w:rsidRPr="00B33FD9">
        <w:t xml:space="preserve">bring </w:t>
      </w:r>
      <w:r w:rsidR="005B54C9" w:rsidRPr="00B33FD9">
        <w:t xml:space="preserve">their networks </w:t>
      </w:r>
      <w:r w:rsidR="00711E75" w:rsidRPr="00B33FD9">
        <w:t xml:space="preserve">into compliance </w:t>
      </w:r>
      <w:r w:rsidR="00766024" w:rsidRPr="00B33FD9">
        <w:t>with the majority rural requirement</w:t>
      </w:r>
      <w:r w:rsidR="005B54C9" w:rsidRPr="00B33FD9">
        <w:t xml:space="preserve"> of HCF</w:t>
      </w:r>
      <w:r w:rsidR="00766024" w:rsidRPr="00B33FD9">
        <w:t xml:space="preserve">.  </w:t>
      </w:r>
      <w:r w:rsidR="00B85AD4" w:rsidRPr="00B33FD9">
        <w:t>Under</w:t>
      </w:r>
      <w:r w:rsidR="0081508A" w:rsidRPr="00B33FD9">
        <w:t xml:space="preserve"> HCF, </w:t>
      </w:r>
      <w:r w:rsidR="005B54C9" w:rsidRPr="00B33FD9">
        <w:t xml:space="preserve">a </w:t>
      </w:r>
      <w:r w:rsidR="002D4CF9" w:rsidRPr="00B33FD9">
        <w:t>consorti</w:t>
      </w:r>
      <w:r w:rsidR="005B54C9" w:rsidRPr="00B33FD9">
        <w:t>um</w:t>
      </w:r>
      <w:r w:rsidR="002D4CF9" w:rsidRPr="00B33FD9">
        <w:t xml:space="preserve"> ha</w:t>
      </w:r>
      <w:r w:rsidR="005B54C9" w:rsidRPr="00B33FD9">
        <w:t>s</w:t>
      </w:r>
      <w:r w:rsidR="002D4CF9" w:rsidRPr="00B33FD9">
        <w:t xml:space="preserve"> three years from the date of filin</w:t>
      </w:r>
      <w:r w:rsidR="00C220BB" w:rsidRPr="00B33FD9">
        <w:t>g its first funding request to be</w:t>
      </w:r>
      <w:r w:rsidR="00711E75" w:rsidRPr="00B33FD9">
        <w:t>come</w:t>
      </w:r>
      <w:r w:rsidR="00C220BB" w:rsidRPr="00B33FD9">
        <w:t xml:space="preserve"> majority rural</w:t>
      </w:r>
      <w:r w:rsidR="005B54C9" w:rsidRPr="00B33FD9">
        <w:t xml:space="preserve"> (</w:t>
      </w:r>
      <w:r w:rsidR="005B54C9" w:rsidRPr="001A5F96">
        <w:rPr>
          <w:i/>
        </w:rPr>
        <w:t xml:space="preserve">i.e., </w:t>
      </w:r>
      <w:r w:rsidR="005B54C9" w:rsidRPr="00B33FD9">
        <w:t>more than 50 percent of its sites are rural HCPs)</w:t>
      </w:r>
      <w:r w:rsidR="002D4CF9" w:rsidRPr="00B33FD9">
        <w:t>.</w:t>
      </w:r>
      <w:bookmarkStart w:id="2" w:name="_Ref385237200"/>
      <w:r w:rsidR="00C220BB" w:rsidRPr="00B33FD9">
        <w:rPr>
          <w:rStyle w:val="FootnoteReference"/>
        </w:rPr>
        <w:footnoteReference w:id="28"/>
      </w:r>
      <w:bookmarkEnd w:id="2"/>
      <w:r w:rsidR="002D4CF9" w:rsidRPr="00B33FD9">
        <w:t xml:space="preserve">  </w:t>
      </w:r>
      <w:r w:rsidR="009B2092" w:rsidRPr="00B33FD9">
        <w:t>W</w:t>
      </w:r>
      <w:r w:rsidR="00766024" w:rsidRPr="00B33FD9">
        <w:t>e recognize that</w:t>
      </w:r>
      <w:r w:rsidR="00520499" w:rsidRPr="00B33FD9">
        <w:t xml:space="preserve"> </w:t>
      </w:r>
      <w:r w:rsidR="00766024" w:rsidRPr="00B33FD9">
        <w:t xml:space="preserve">updating the </w:t>
      </w:r>
      <w:r w:rsidR="005B54C9" w:rsidRPr="00B33FD9">
        <w:t>R</w:t>
      </w:r>
      <w:r w:rsidR="0081508A" w:rsidRPr="00B33FD9">
        <w:t xml:space="preserve">ural </w:t>
      </w:r>
      <w:r w:rsidR="005B54C9" w:rsidRPr="00B33FD9">
        <w:t>A</w:t>
      </w:r>
      <w:r w:rsidR="00766024" w:rsidRPr="00B33FD9">
        <w:t xml:space="preserve">reas </w:t>
      </w:r>
      <w:r w:rsidR="005B54C9" w:rsidRPr="00B33FD9">
        <w:t>L</w:t>
      </w:r>
      <w:r w:rsidR="00766024" w:rsidRPr="00B33FD9">
        <w:t xml:space="preserve">ist may impact the distribution of rural and non-rural sites participating in a consortium network, and </w:t>
      </w:r>
      <w:r w:rsidR="00C220BB" w:rsidRPr="00B33FD9">
        <w:t xml:space="preserve">some </w:t>
      </w:r>
      <w:r w:rsidR="00B85AD4" w:rsidRPr="00B33FD9">
        <w:t>sites</w:t>
      </w:r>
      <w:r w:rsidR="00766024" w:rsidRPr="00B33FD9">
        <w:t xml:space="preserve"> that were previously designated as “rural” may become “non-rural”</w:t>
      </w:r>
      <w:r w:rsidR="002679DB" w:rsidRPr="00B33FD9">
        <w:t xml:space="preserve"> as a result of the update.</w:t>
      </w:r>
      <w:r w:rsidR="00B85AD4" w:rsidRPr="00B33FD9">
        <w:t xml:space="preserve"> </w:t>
      </w:r>
      <w:r w:rsidR="00766024" w:rsidRPr="00B33FD9">
        <w:t xml:space="preserve"> Therefore, </w:t>
      </w:r>
      <w:r w:rsidR="005B54C9" w:rsidRPr="00B33FD9">
        <w:t xml:space="preserve">sites </w:t>
      </w:r>
      <w:r w:rsidR="00766024" w:rsidRPr="00B33FD9">
        <w:t>that</w:t>
      </w:r>
      <w:r w:rsidR="009B2092" w:rsidRPr="00B33FD9">
        <w:t xml:space="preserve"> </w:t>
      </w:r>
      <w:r w:rsidR="002679DB" w:rsidRPr="00B33FD9">
        <w:t xml:space="preserve">have received a funding commitment as part of </w:t>
      </w:r>
      <w:r w:rsidR="00766024" w:rsidRPr="00B33FD9">
        <w:t>a consorti</w:t>
      </w:r>
      <w:r w:rsidR="00DC0167" w:rsidRPr="00B33FD9">
        <w:t>um</w:t>
      </w:r>
      <w:r w:rsidR="009B2092" w:rsidRPr="00B33FD9">
        <w:t xml:space="preserve"> </w:t>
      </w:r>
      <w:r w:rsidR="00711E75" w:rsidRPr="00B33FD9">
        <w:t>before</w:t>
      </w:r>
      <w:r w:rsidR="009B2092" w:rsidRPr="00B33FD9">
        <w:t xml:space="preserve"> the </w:t>
      </w:r>
      <w:r w:rsidR="00711E75" w:rsidRPr="00B33FD9">
        <w:t>Rural Areas List is updated</w:t>
      </w:r>
      <w:r w:rsidR="009B2092" w:rsidRPr="00B33FD9">
        <w:t>,</w:t>
      </w:r>
      <w:r w:rsidR="00766024" w:rsidRPr="00B33FD9">
        <w:t xml:space="preserve"> and </w:t>
      </w:r>
      <w:r w:rsidR="00711E75" w:rsidRPr="00B33FD9">
        <w:t xml:space="preserve">have </w:t>
      </w:r>
      <w:r w:rsidR="00766024" w:rsidRPr="00B33FD9">
        <w:t xml:space="preserve">their status change to “non-rural” as a result of </w:t>
      </w:r>
      <w:r w:rsidR="009B2092" w:rsidRPr="00B33FD9">
        <w:t xml:space="preserve">the update, </w:t>
      </w:r>
      <w:r w:rsidR="00711E75" w:rsidRPr="00B33FD9">
        <w:t xml:space="preserve">will </w:t>
      </w:r>
      <w:r w:rsidR="005B54C9" w:rsidRPr="00B33FD9">
        <w:t xml:space="preserve">count as “rural” </w:t>
      </w:r>
      <w:r w:rsidR="00766024" w:rsidRPr="00B33FD9">
        <w:t xml:space="preserve">toward </w:t>
      </w:r>
      <w:r w:rsidR="00711E75" w:rsidRPr="00B33FD9">
        <w:t xml:space="preserve">the </w:t>
      </w:r>
      <w:r w:rsidR="00766024" w:rsidRPr="00B33FD9">
        <w:t xml:space="preserve">consortium’s majority rural requirement for the remainder of the </w:t>
      </w:r>
      <w:r w:rsidR="00923344">
        <w:t xml:space="preserve">current </w:t>
      </w:r>
      <w:r w:rsidR="00936385">
        <w:t xml:space="preserve"> </w:t>
      </w:r>
      <w:r w:rsidR="00766024" w:rsidRPr="00B33FD9">
        <w:t xml:space="preserve">funding year and </w:t>
      </w:r>
      <w:r w:rsidR="00C56A28" w:rsidRPr="00B33FD9">
        <w:t>the following</w:t>
      </w:r>
      <w:r w:rsidR="00766024" w:rsidRPr="00B33FD9">
        <w:t xml:space="preserve"> funding year.  Allowing the</w:t>
      </w:r>
      <w:r w:rsidR="009B2092" w:rsidRPr="00B33FD9">
        <w:t>se sites</w:t>
      </w:r>
      <w:r w:rsidR="00766024" w:rsidRPr="00B33FD9">
        <w:t xml:space="preserve"> to continue to count as “rural” for a limited period will help ensure that these </w:t>
      </w:r>
      <w:r w:rsidR="00DC0167" w:rsidRPr="00B33FD9">
        <w:t>HCPs</w:t>
      </w:r>
      <w:r w:rsidR="00766024" w:rsidRPr="00B33FD9">
        <w:t xml:space="preserve"> remain connected to the broadband networks developed with RHC support as the consortium seeks to attract new rural HCP sites</w:t>
      </w:r>
      <w:r w:rsidR="00DC0167" w:rsidRPr="00B33FD9">
        <w:t xml:space="preserve"> to fulfill its majority rural requirement.</w:t>
      </w:r>
      <w:r w:rsidR="00766024" w:rsidRPr="00B33FD9">
        <w:t xml:space="preserve"> </w:t>
      </w:r>
      <w:r w:rsidR="00711E75" w:rsidRPr="00B33FD9">
        <w:t xml:space="preserve"> </w:t>
      </w:r>
      <w:r w:rsidR="006C035B" w:rsidRPr="00B33FD9">
        <w:t xml:space="preserve">Sites that have not </w:t>
      </w:r>
      <w:r w:rsidR="006C035B">
        <w:t xml:space="preserve">sought a funding commitment and change from “rural” to </w:t>
      </w:r>
      <w:r w:rsidR="006C035B" w:rsidRPr="00B33FD9">
        <w:t>“non-rural” as a result of the update, must immediately count as a “non-rural” HCP site towards the majority-rural requirement for consortia</w:t>
      </w:r>
      <w:r w:rsidR="006C035B">
        <w:t>.</w:t>
      </w:r>
      <w:r w:rsidR="003E17E4">
        <w:rPr>
          <w:rStyle w:val="FootnoteReference"/>
        </w:rPr>
        <w:footnoteReference w:id="29"/>
      </w:r>
      <w:r w:rsidR="007F2106" w:rsidRPr="00B33FD9">
        <w:t xml:space="preserve"> </w:t>
      </w:r>
      <w:r w:rsidR="009B2092" w:rsidRPr="00B33FD9">
        <w:t xml:space="preserve"> </w:t>
      </w:r>
      <w:r w:rsidR="00770868" w:rsidRPr="00B33FD9">
        <w:t>Non-rural Pilot project sites</w:t>
      </w:r>
      <w:r w:rsidR="00FE76E4" w:rsidRPr="00B33FD9">
        <w:t xml:space="preserve"> that were</w:t>
      </w:r>
      <w:r w:rsidR="00366E9C" w:rsidRPr="00B33FD9">
        <w:t xml:space="preserve"> </w:t>
      </w:r>
      <w:r w:rsidR="00FE76E4" w:rsidRPr="00B33FD9">
        <w:t xml:space="preserve">“grandfathered” by the </w:t>
      </w:r>
      <w:r w:rsidR="00FE76E4" w:rsidRPr="001A5F96">
        <w:rPr>
          <w:i/>
        </w:rPr>
        <w:t>HCF Order</w:t>
      </w:r>
      <w:r w:rsidR="00FE76E4" w:rsidRPr="00B33FD9">
        <w:t xml:space="preserve"> may continue to receive support, but only so long as they meet the terms </w:t>
      </w:r>
      <w:r w:rsidR="00505B06" w:rsidRPr="00B33FD9">
        <w:t>outlined in</w:t>
      </w:r>
      <w:r w:rsidR="00FE76E4" w:rsidRPr="00B33FD9">
        <w:t xml:space="preserve"> the </w:t>
      </w:r>
      <w:r w:rsidR="00FE76E4" w:rsidRPr="001A5F96">
        <w:rPr>
          <w:i/>
        </w:rPr>
        <w:t>HCF Order</w:t>
      </w:r>
      <w:r w:rsidR="00FE76E4" w:rsidRPr="00B33FD9">
        <w:t>.</w:t>
      </w:r>
      <w:r w:rsidR="00FE76E4" w:rsidRPr="00B33FD9">
        <w:rPr>
          <w:rStyle w:val="FootnoteReference"/>
        </w:rPr>
        <w:footnoteReference w:id="30"/>
      </w:r>
      <w:r w:rsidR="00770868" w:rsidRPr="00B33FD9">
        <w:t xml:space="preserve"> </w:t>
      </w:r>
      <w:r w:rsidR="001340B8" w:rsidRPr="00B33FD9">
        <w:t xml:space="preserve"> </w:t>
      </w:r>
    </w:p>
    <w:p w:rsidR="001340B8" w:rsidRPr="00B33FD9" w:rsidRDefault="00313C91" w:rsidP="001A5F96">
      <w:pPr>
        <w:pStyle w:val="ParaNum"/>
      </w:pPr>
      <w:r>
        <w:rPr>
          <w:i/>
        </w:rPr>
        <w:t xml:space="preserve">Effect of Updated Rural Areas List on </w:t>
      </w:r>
      <w:r w:rsidR="00A5557F" w:rsidRPr="00B33FD9">
        <w:rPr>
          <w:i/>
        </w:rPr>
        <w:t>Multi-Year Funding Commitments</w:t>
      </w:r>
      <w:r w:rsidR="00A5557F" w:rsidRPr="00B33FD9">
        <w:t xml:space="preserve">.  </w:t>
      </w:r>
      <w:r w:rsidR="00DC0167" w:rsidRPr="00B33FD9">
        <w:t>We also instruct USAC to</w:t>
      </w:r>
      <w:r w:rsidR="007F2106" w:rsidRPr="00B33FD9">
        <w:t xml:space="preserve"> allow HCPs that</w:t>
      </w:r>
      <w:r w:rsidR="00BD5FDF" w:rsidRPr="00B33FD9">
        <w:t xml:space="preserve"> have received multi-year funding commitment</w:t>
      </w:r>
      <w:r w:rsidR="00520499" w:rsidRPr="00B33FD9">
        <w:t>s</w:t>
      </w:r>
      <w:r w:rsidR="00BD5FDF" w:rsidRPr="00B33FD9">
        <w:t xml:space="preserve"> to retain their </w:t>
      </w:r>
      <w:r w:rsidR="00240909" w:rsidRPr="00B33FD9">
        <w:t>“</w:t>
      </w:r>
      <w:r w:rsidR="00BD5FDF" w:rsidRPr="00B33FD9">
        <w:t>rural</w:t>
      </w:r>
      <w:r w:rsidR="00240909" w:rsidRPr="00B33FD9">
        <w:t>”</w:t>
      </w:r>
      <w:r w:rsidR="00BD5FDF" w:rsidRPr="00B33FD9">
        <w:t xml:space="preserve"> status for the </w:t>
      </w:r>
      <w:r w:rsidR="00DC0167" w:rsidRPr="00B33FD9">
        <w:t xml:space="preserve">duration of </w:t>
      </w:r>
      <w:r w:rsidR="00BD5FDF" w:rsidRPr="00B33FD9">
        <w:t>the</w:t>
      </w:r>
      <w:r w:rsidR="00DC0167" w:rsidRPr="00B33FD9">
        <w:t xml:space="preserve"> commitment</w:t>
      </w:r>
      <w:r w:rsidR="005B54C9" w:rsidRPr="00B33FD9">
        <w:t>, regardless of the impact of an u</w:t>
      </w:r>
      <w:r w:rsidR="00240909" w:rsidRPr="00B33FD9">
        <w:t>pd</w:t>
      </w:r>
      <w:r w:rsidR="005B54C9" w:rsidRPr="00B33FD9">
        <w:t>ated Rural Areas List</w:t>
      </w:r>
      <w:r w:rsidR="00DC0167" w:rsidRPr="00B33FD9">
        <w:t xml:space="preserve">. </w:t>
      </w:r>
      <w:r w:rsidR="00240909" w:rsidRPr="00B33FD9">
        <w:t xml:space="preserve"> </w:t>
      </w:r>
      <w:r w:rsidR="0081508A" w:rsidRPr="00B33FD9">
        <w:t>HCF</w:t>
      </w:r>
      <w:r w:rsidR="009B2092" w:rsidRPr="00B33FD9">
        <w:t xml:space="preserve"> allows HCPs to receive multi-year funding commitments for a period of time that covers up to three funding years.</w:t>
      </w:r>
      <w:r w:rsidR="00711E75" w:rsidRPr="00B33FD9">
        <w:rPr>
          <w:rStyle w:val="FootnoteReference"/>
        </w:rPr>
        <w:footnoteReference w:id="31"/>
      </w:r>
      <w:r w:rsidR="009B2092" w:rsidRPr="00B33FD9">
        <w:t xml:space="preserve">  Applicants that receive </w:t>
      </w:r>
      <w:r w:rsidR="002E04EF">
        <w:t>such HCF multi-ye</w:t>
      </w:r>
      <w:r w:rsidR="00283CC5">
        <w:t>a</w:t>
      </w:r>
      <w:r w:rsidR="002E04EF">
        <w:t xml:space="preserve">r </w:t>
      </w:r>
      <w:r w:rsidR="009B2092" w:rsidRPr="00B33FD9">
        <w:t>funding commitment</w:t>
      </w:r>
      <w:r w:rsidR="005B54C9" w:rsidRPr="00B33FD9">
        <w:t>s</w:t>
      </w:r>
      <w:r w:rsidR="009B2092" w:rsidRPr="00B33FD9">
        <w:t xml:space="preserve"> do not have to </w:t>
      </w:r>
      <w:r w:rsidR="002E04EF">
        <w:t>re-</w:t>
      </w:r>
      <w:r w:rsidR="009B2092" w:rsidRPr="00B33FD9">
        <w:t xml:space="preserve">apply for support </w:t>
      </w:r>
      <w:r w:rsidR="002E04EF">
        <w:t>each year</w:t>
      </w:r>
      <w:r w:rsidR="002679DB" w:rsidRPr="00B33FD9">
        <w:t xml:space="preserve">, which helps </w:t>
      </w:r>
      <w:r w:rsidR="00120FAD" w:rsidRPr="00B33FD9">
        <w:t>reduce uncertainty and administrative costs for applicants and USAC.</w:t>
      </w:r>
      <w:r w:rsidR="0070495C" w:rsidRPr="00B33FD9">
        <w:rPr>
          <w:rStyle w:val="FootnoteReference"/>
        </w:rPr>
        <w:footnoteReference w:id="32"/>
      </w:r>
      <w:r w:rsidR="00120FAD" w:rsidRPr="00B33FD9">
        <w:t xml:space="preserve">  </w:t>
      </w:r>
      <w:r w:rsidR="002E04EF">
        <w:t>W</w:t>
      </w:r>
      <w:r w:rsidR="009B2092" w:rsidRPr="00B33FD9">
        <w:t>e find that</w:t>
      </w:r>
      <w:r w:rsidR="001340B8" w:rsidRPr="00B33FD9">
        <w:t xml:space="preserve"> HCPs that</w:t>
      </w:r>
      <w:r w:rsidR="009B2092" w:rsidRPr="00B33FD9">
        <w:t xml:space="preserve"> have</w:t>
      </w:r>
      <w:r w:rsidR="001340B8" w:rsidRPr="00B33FD9">
        <w:t xml:space="preserve"> </w:t>
      </w:r>
      <w:r w:rsidR="00312FC1" w:rsidRPr="00B33FD9">
        <w:t>receive</w:t>
      </w:r>
      <w:r w:rsidR="009B2092" w:rsidRPr="00B33FD9">
        <w:t>d</w:t>
      </w:r>
      <w:r w:rsidR="001340B8" w:rsidRPr="00B33FD9">
        <w:t xml:space="preserve"> multi-year </w:t>
      </w:r>
      <w:r w:rsidR="00283CC5">
        <w:t xml:space="preserve">HCF </w:t>
      </w:r>
      <w:r w:rsidR="001340B8" w:rsidRPr="00B33FD9">
        <w:t>funding</w:t>
      </w:r>
      <w:r w:rsidR="00312FC1" w:rsidRPr="00B33FD9">
        <w:t xml:space="preserve"> commitment</w:t>
      </w:r>
      <w:r w:rsidR="005B54C9" w:rsidRPr="00B33FD9">
        <w:t>s</w:t>
      </w:r>
      <w:r w:rsidR="002679DB" w:rsidRPr="00B33FD9">
        <w:t xml:space="preserve"> from USAC, and whose status </w:t>
      </w:r>
      <w:r w:rsidR="002E04EF">
        <w:t xml:space="preserve">subsequently </w:t>
      </w:r>
      <w:r w:rsidR="002679DB" w:rsidRPr="00B33FD9">
        <w:t>change</w:t>
      </w:r>
      <w:r w:rsidR="00936385">
        <w:t>s</w:t>
      </w:r>
      <w:r w:rsidR="002679DB" w:rsidRPr="00B33FD9">
        <w:t xml:space="preserve"> from “rural” to “non-rural” as a result of </w:t>
      </w:r>
      <w:r w:rsidR="002E04EF">
        <w:t xml:space="preserve">an </w:t>
      </w:r>
      <w:r w:rsidR="002679DB" w:rsidRPr="00B33FD9">
        <w:t xml:space="preserve">update, </w:t>
      </w:r>
      <w:r w:rsidR="009B2092" w:rsidRPr="00B33FD9">
        <w:t xml:space="preserve">can continue </w:t>
      </w:r>
      <w:r w:rsidR="002679DB" w:rsidRPr="00B33FD9">
        <w:t xml:space="preserve">to receive funding as </w:t>
      </w:r>
      <w:r w:rsidR="00120FAD" w:rsidRPr="00B33FD9">
        <w:t>“</w:t>
      </w:r>
      <w:r w:rsidR="002679DB" w:rsidRPr="00B33FD9">
        <w:t>rural</w:t>
      </w:r>
      <w:r w:rsidR="00120FAD" w:rsidRPr="00B33FD9">
        <w:t>”</w:t>
      </w:r>
      <w:r w:rsidR="002679DB" w:rsidRPr="00B33FD9">
        <w:t xml:space="preserve"> HCP site</w:t>
      </w:r>
      <w:r w:rsidR="005B54C9" w:rsidRPr="00B33FD9">
        <w:t>s</w:t>
      </w:r>
      <w:r w:rsidR="009B2092" w:rsidRPr="00B33FD9">
        <w:t xml:space="preserve"> for remainder of the commitment.  </w:t>
      </w:r>
      <w:r w:rsidR="00C43605">
        <w:t xml:space="preserve">To the extent </w:t>
      </w:r>
      <w:r w:rsidR="00164DFC" w:rsidRPr="00B33FD9">
        <w:t>that s</w:t>
      </w:r>
      <w:r w:rsidR="009B2092" w:rsidRPr="00B33FD9">
        <w:t xml:space="preserve">ites </w:t>
      </w:r>
      <w:r w:rsidR="002679DB" w:rsidRPr="00B33FD9">
        <w:t xml:space="preserve">that previously </w:t>
      </w:r>
      <w:r w:rsidR="00640204">
        <w:t>were</w:t>
      </w:r>
      <w:r w:rsidR="002679DB" w:rsidRPr="00B33FD9">
        <w:t xml:space="preserve"> </w:t>
      </w:r>
      <w:r w:rsidR="005B54C9" w:rsidRPr="00B33FD9">
        <w:t>“</w:t>
      </w:r>
      <w:r w:rsidR="002679DB" w:rsidRPr="00B33FD9">
        <w:t>rural</w:t>
      </w:r>
      <w:r w:rsidR="005B54C9" w:rsidRPr="00B33FD9">
        <w:t>”</w:t>
      </w:r>
      <w:r w:rsidR="002679DB" w:rsidRPr="00B33FD9">
        <w:t xml:space="preserve"> prior to the </w:t>
      </w:r>
      <w:r w:rsidR="005B54C9" w:rsidRPr="00B33FD9">
        <w:t>R</w:t>
      </w:r>
      <w:r w:rsidR="002679DB" w:rsidRPr="00B33FD9">
        <w:t xml:space="preserve">ural </w:t>
      </w:r>
      <w:r w:rsidR="005B54C9" w:rsidRPr="00B33FD9">
        <w:t>A</w:t>
      </w:r>
      <w:r w:rsidR="002679DB" w:rsidRPr="00B33FD9">
        <w:t>reas</w:t>
      </w:r>
      <w:r w:rsidR="005B54C9" w:rsidRPr="00B33FD9">
        <w:t xml:space="preserve"> List</w:t>
      </w:r>
      <w:r w:rsidR="002679DB" w:rsidRPr="00B33FD9">
        <w:t xml:space="preserve"> update </w:t>
      </w:r>
      <w:r w:rsidR="00640204">
        <w:t xml:space="preserve">have sought </w:t>
      </w:r>
      <w:r w:rsidR="002679DB" w:rsidRPr="00B33FD9">
        <w:t xml:space="preserve">but have </w:t>
      </w:r>
      <w:r w:rsidR="00640204">
        <w:t xml:space="preserve">not </w:t>
      </w:r>
      <w:r w:rsidR="002679DB" w:rsidRPr="00B33FD9">
        <w:t xml:space="preserve">yet </w:t>
      </w:r>
      <w:r w:rsidR="00640204">
        <w:t>received</w:t>
      </w:r>
      <w:r w:rsidR="002679DB" w:rsidRPr="00B33FD9">
        <w:t xml:space="preserve"> a </w:t>
      </w:r>
      <w:r w:rsidR="00640204">
        <w:t xml:space="preserve">HCF </w:t>
      </w:r>
      <w:r w:rsidR="002679DB" w:rsidRPr="00B33FD9">
        <w:t xml:space="preserve">commitment, </w:t>
      </w:r>
      <w:r w:rsidR="00D674A2">
        <w:t>can receive funding as “rural” for the term of the multi-year funding commitment.  We also find that sites that have previously been determined as “rural” prior to the Rur</w:t>
      </w:r>
      <w:r w:rsidR="00F174A2">
        <w:t xml:space="preserve">al Areas List update, but have </w:t>
      </w:r>
      <w:r w:rsidR="00D674A2">
        <w:t>yet to seek a commitment are ineligible to receive support for a full multi-year commitment, and instead, are only eligible for support for the current funding year and the following year.</w:t>
      </w:r>
      <w:r w:rsidR="0030083E" w:rsidRPr="00B33FD9">
        <w:t xml:space="preserve"> </w:t>
      </w:r>
      <w:r w:rsidR="009B2092" w:rsidRPr="00B33FD9">
        <w:t xml:space="preserve"> </w:t>
      </w:r>
      <w:r w:rsidR="00AB25E5" w:rsidRPr="00B33FD9">
        <w:t>We</w:t>
      </w:r>
      <w:r w:rsidR="00164DFC" w:rsidRPr="00B33FD9">
        <w:t xml:space="preserve"> conclude</w:t>
      </w:r>
      <w:r w:rsidR="00AB25E5" w:rsidRPr="00B33FD9">
        <w:t xml:space="preserve"> </w:t>
      </w:r>
      <w:r w:rsidR="005B54C9" w:rsidRPr="00B33FD9">
        <w:t xml:space="preserve">that </w:t>
      </w:r>
      <w:r w:rsidR="00AB25E5" w:rsidRPr="00B33FD9">
        <w:t xml:space="preserve">this approach best addresses the potential for </w:t>
      </w:r>
      <w:r w:rsidR="005B54C9" w:rsidRPr="00B33FD9">
        <w:t xml:space="preserve">the </w:t>
      </w:r>
      <w:r w:rsidR="00AB25E5" w:rsidRPr="00B33FD9">
        <w:t xml:space="preserve">disruption of long-term business plans, as </w:t>
      </w:r>
      <w:r w:rsidR="00164DFC" w:rsidRPr="00B33FD9">
        <w:t>well as ensures that RHC funds are being appropriately</w:t>
      </w:r>
      <w:r w:rsidR="00BD5FDF" w:rsidRPr="00B33FD9">
        <w:t xml:space="preserve"> distributed</w:t>
      </w:r>
      <w:r w:rsidR="00164DFC" w:rsidRPr="00B33FD9">
        <w:t xml:space="preserve"> to HCPs that are truly located in rural areas</w:t>
      </w:r>
      <w:r w:rsidR="00AB25E5" w:rsidRPr="00B33FD9">
        <w:t>.  HCP site</w:t>
      </w:r>
      <w:r w:rsidR="000740A0" w:rsidRPr="00B33FD9">
        <w:t>s that</w:t>
      </w:r>
      <w:r w:rsidR="00AB25E5" w:rsidRPr="00B33FD9">
        <w:t xml:space="preserve"> received a multi-year funding commitment</w:t>
      </w:r>
      <w:r w:rsidR="000740A0" w:rsidRPr="00B33FD9">
        <w:t xml:space="preserve"> as a member of a Pilot project or HCF consortium, </w:t>
      </w:r>
      <w:r w:rsidR="00AB25E5" w:rsidRPr="00B33FD9">
        <w:t xml:space="preserve">and change from “rural” to “non-rural” as a result of an update to the </w:t>
      </w:r>
      <w:r w:rsidR="000740A0" w:rsidRPr="00B33FD9">
        <w:t>Ru</w:t>
      </w:r>
      <w:r w:rsidR="00AB25E5" w:rsidRPr="00B33FD9">
        <w:t xml:space="preserve">ral </w:t>
      </w:r>
      <w:r w:rsidR="000740A0" w:rsidRPr="00B33FD9">
        <w:t>A</w:t>
      </w:r>
      <w:r w:rsidR="00AB25E5" w:rsidRPr="00B33FD9">
        <w:t>reas</w:t>
      </w:r>
      <w:r w:rsidR="000740A0" w:rsidRPr="00B33FD9">
        <w:t xml:space="preserve"> List, </w:t>
      </w:r>
      <w:r w:rsidR="00936385">
        <w:t xml:space="preserve">will </w:t>
      </w:r>
      <w:r w:rsidR="000740A0" w:rsidRPr="00B33FD9">
        <w:t xml:space="preserve">maintain their “rural” status and </w:t>
      </w:r>
      <w:r w:rsidR="00452A59" w:rsidRPr="00B33FD9">
        <w:t>count towards</w:t>
      </w:r>
      <w:r w:rsidR="00C5204F" w:rsidRPr="00B33FD9">
        <w:t xml:space="preserve"> the consortium’s majority rural calculation </w:t>
      </w:r>
      <w:r w:rsidR="000740A0" w:rsidRPr="00B33FD9">
        <w:t xml:space="preserve">until </w:t>
      </w:r>
      <w:r w:rsidR="00C5204F" w:rsidRPr="00B33FD9">
        <w:t>the</w:t>
      </w:r>
      <w:r w:rsidR="00164DFC" w:rsidRPr="00B33FD9">
        <w:t xml:space="preserve"> expiration of the funding commitment. </w:t>
      </w:r>
      <w:r w:rsidR="00C5204F" w:rsidRPr="00B33FD9">
        <w:t xml:space="preserve"> </w:t>
      </w:r>
    </w:p>
    <w:p w:rsidR="00541B6C" w:rsidRPr="00B33FD9" w:rsidRDefault="00313C91">
      <w:pPr>
        <w:pStyle w:val="ParaNum"/>
      </w:pPr>
      <w:r>
        <w:rPr>
          <w:i/>
        </w:rPr>
        <w:t xml:space="preserve"> Effect of Updated Rural Areas List on</w:t>
      </w:r>
      <w:r w:rsidR="0030424A">
        <w:rPr>
          <w:i/>
        </w:rPr>
        <w:t xml:space="preserve"> </w:t>
      </w:r>
      <w:r w:rsidR="00541B6C" w:rsidRPr="00B33FD9">
        <w:rPr>
          <w:i/>
        </w:rPr>
        <w:t>New RHC Applicants</w:t>
      </w:r>
      <w:r w:rsidR="00541B6C" w:rsidRPr="00B33FD9">
        <w:t xml:space="preserve">. </w:t>
      </w:r>
      <w:r w:rsidR="0070495C" w:rsidRPr="00B33FD9">
        <w:t xml:space="preserve"> W</w:t>
      </w:r>
      <w:r w:rsidR="00541B6C" w:rsidRPr="00B33FD9">
        <w:t xml:space="preserve">e conclude that it is appropriate for USAC to begin using the updated </w:t>
      </w:r>
      <w:r w:rsidR="000740A0" w:rsidRPr="00B33FD9">
        <w:t>R</w:t>
      </w:r>
      <w:r w:rsidR="00541B6C" w:rsidRPr="00B33FD9">
        <w:t xml:space="preserve">ural </w:t>
      </w:r>
      <w:r w:rsidR="000740A0" w:rsidRPr="00B33FD9">
        <w:t>A</w:t>
      </w:r>
      <w:r w:rsidR="00541B6C" w:rsidRPr="00B33FD9">
        <w:t xml:space="preserve">reas </w:t>
      </w:r>
      <w:r w:rsidR="000740A0" w:rsidRPr="00B33FD9">
        <w:t>L</w:t>
      </w:r>
      <w:r w:rsidR="00541B6C" w:rsidRPr="00B33FD9">
        <w:t xml:space="preserve">ist </w:t>
      </w:r>
      <w:r w:rsidR="00C56A28" w:rsidRPr="00B33FD9">
        <w:t>to</w:t>
      </w:r>
      <w:r w:rsidR="00541B6C" w:rsidRPr="00B33FD9">
        <w:t xml:space="preserve"> </w:t>
      </w:r>
      <w:r w:rsidR="007F2106" w:rsidRPr="00B33FD9">
        <w:t>determ</w:t>
      </w:r>
      <w:r w:rsidR="00C56A28" w:rsidRPr="00B33FD9">
        <w:t>ine</w:t>
      </w:r>
      <w:r w:rsidR="007F2106" w:rsidRPr="00B33FD9">
        <w:t xml:space="preserve"> </w:t>
      </w:r>
      <w:r w:rsidR="00541B6C" w:rsidRPr="00B33FD9">
        <w:t>eligibility of new RHC program applicants immediately upon posting of the updated list</w:t>
      </w:r>
      <w:r w:rsidR="009B2092" w:rsidRPr="00B33FD9">
        <w:t>.</w:t>
      </w:r>
      <w:r w:rsidR="00E3603D">
        <w:t xml:space="preserve">  Thus, any new RHC </w:t>
      </w:r>
      <w:r w:rsidR="00541B6C" w:rsidRPr="00B33FD9">
        <w:t xml:space="preserve">applicants filing a </w:t>
      </w:r>
      <w:r w:rsidR="009C39E9">
        <w:t xml:space="preserve">FCC </w:t>
      </w:r>
      <w:r w:rsidR="00541B6C" w:rsidRPr="00B33FD9">
        <w:t xml:space="preserve">Form 460 or </w:t>
      </w:r>
      <w:r w:rsidR="009C39E9">
        <w:t xml:space="preserve">Form </w:t>
      </w:r>
      <w:r w:rsidR="00541B6C" w:rsidRPr="00B33FD9">
        <w:t xml:space="preserve">465 </w:t>
      </w:r>
      <w:r w:rsidR="00BA4792" w:rsidRPr="00B33FD9">
        <w:t xml:space="preserve">on or </w:t>
      </w:r>
      <w:r w:rsidR="00541B6C" w:rsidRPr="00B33FD9">
        <w:t xml:space="preserve">after </w:t>
      </w:r>
      <w:r w:rsidR="00BA4792" w:rsidRPr="00B33FD9">
        <w:t xml:space="preserve">the first business day following </w:t>
      </w:r>
      <w:r w:rsidR="00541B6C" w:rsidRPr="00B33FD9">
        <w:t>USAC</w:t>
      </w:r>
      <w:r w:rsidR="00BA4792" w:rsidRPr="00B33FD9">
        <w:t>’s posting of</w:t>
      </w:r>
      <w:r w:rsidR="00541B6C" w:rsidRPr="00B33FD9">
        <w:t xml:space="preserve"> an updated </w:t>
      </w:r>
      <w:r w:rsidR="0070495C" w:rsidRPr="00B33FD9">
        <w:t>Rural Areas List</w:t>
      </w:r>
      <w:r w:rsidR="00541B6C" w:rsidRPr="00B33FD9">
        <w:t xml:space="preserve"> will have their “rural” or “non-rural” status determined by reference to the updated list.  </w:t>
      </w:r>
      <w:r w:rsidR="003233E0" w:rsidRPr="00B33FD9">
        <w:t>W</w:t>
      </w:r>
      <w:r w:rsidR="00541B6C" w:rsidRPr="00B33FD9">
        <w:t xml:space="preserve">e find that new applicants seeking support do not need </w:t>
      </w:r>
      <w:r w:rsidR="003233E0" w:rsidRPr="00B33FD9">
        <w:t>a</w:t>
      </w:r>
      <w:r w:rsidR="00541B6C" w:rsidRPr="00B33FD9">
        <w:t xml:space="preserve"> transition period because their eligibility to participate in the program ha</w:t>
      </w:r>
      <w:r w:rsidR="000740A0" w:rsidRPr="00B33FD9">
        <w:t>s</w:t>
      </w:r>
      <w:r w:rsidR="00541B6C" w:rsidRPr="00B33FD9">
        <w:t xml:space="preserve"> not already been established. </w:t>
      </w:r>
      <w:r w:rsidR="003233E0" w:rsidRPr="00B33FD9">
        <w:t xml:space="preserve"> </w:t>
      </w:r>
      <w:r w:rsidR="00541B6C" w:rsidRPr="00B33FD9">
        <w:t xml:space="preserve">And, although a change from “rural” to “non-rural” status may preclude a new applicant from receiving support in the Telecommunications </w:t>
      </w:r>
      <w:r w:rsidR="00283CC5">
        <w:t>P</w:t>
      </w:r>
      <w:r w:rsidR="00541B6C" w:rsidRPr="00B33FD9">
        <w:t xml:space="preserve">rogram or applying as an individual </w:t>
      </w:r>
      <w:r w:rsidR="0070495C" w:rsidRPr="00B33FD9">
        <w:t xml:space="preserve">participant </w:t>
      </w:r>
      <w:r w:rsidR="00541B6C" w:rsidRPr="00B33FD9">
        <w:t xml:space="preserve">in HCF, we note that an HCP still may be able to receive RHC support </w:t>
      </w:r>
      <w:r w:rsidR="009C39E9">
        <w:t xml:space="preserve">as </w:t>
      </w:r>
      <w:r w:rsidR="00541B6C" w:rsidRPr="00B33FD9">
        <w:t>a member of a consortium in HCF.</w:t>
      </w:r>
      <w:r w:rsidR="00541B6C" w:rsidRPr="00B33FD9">
        <w:rPr>
          <w:rStyle w:val="FootnoteReference"/>
        </w:rPr>
        <w:footnoteReference w:id="33"/>
      </w:r>
    </w:p>
    <w:p w:rsidR="00312278" w:rsidRPr="00312278" w:rsidRDefault="00542508" w:rsidP="00312278">
      <w:pPr>
        <w:pStyle w:val="ParaNum"/>
        <w:numPr>
          <w:ilvl w:val="0"/>
          <w:numId w:val="0"/>
        </w:numPr>
      </w:pPr>
      <w:r>
        <w:rPr>
          <w:b/>
        </w:rPr>
        <w:t>I</w:t>
      </w:r>
      <w:r w:rsidR="00C97B14">
        <w:rPr>
          <w:b/>
        </w:rPr>
        <w:t>II</w:t>
      </w:r>
      <w:r>
        <w:rPr>
          <w:b/>
        </w:rPr>
        <w:t>.</w:t>
      </w:r>
      <w:r>
        <w:rPr>
          <w:b/>
        </w:rPr>
        <w:tab/>
        <w:t>ORDERING CLAUSES</w:t>
      </w:r>
    </w:p>
    <w:p w:rsidR="000C4C4B" w:rsidRPr="00B33FD9" w:rsidRDefault="00185818">
      <w:pPr>
        <w:pStyle w:val="ParaNum"/>
      </w:pPr>
      <w:r w:rsidRPr="00B33FD9">
        <w:t xml:space="preserve">Accordingly, </w:t>
      </w:r>
      <w:r w:rsidR="000C4C4B" w:rsidRPr="00B33FD9">
        <w:t xml:space="preserve">IT IS ORDERED that, pursuant to </w:t>
      </w:r>
      <w:r w:rsidR="00505B06" w:rsidRPr="00B33FD9">
        <w:t xml:space="preserve">the authority contained in </w:t>
      </w:r>
      <w:r w:rsidR="00505B06" w:rsidRPr="00B33FD9">
        <w:rPr>
          <w:rStyle w:val="StyleNumberedparagraphs11ptChar"/>
          <w:szCs w:val="22"/>
        </w:rPr>
        <w:t xml:space="preserve">sections 1-4 and 254 of the Communications Act of 1934, as amended, 47 U.S.C. §§ 151-154 and 254, and </w:t>
      </w:r>
      <w:r w:rsidR="000C4C4B" w:rsidRPr="00B33FD9">
        <w:t>sections 0.91, 0.201(d), and 0.291 of the Commission’s rules, 47 C.F.R. §§ 0.91, 0.201(d), and 0.291,</w:t>
      </w:r>
      <w:r w:rsidR="00963383" w:rsidRPr="00B33FD9">
        <w:t xml:space="preserve"> </w:t>
      </w:r>
      <w:r w:rsidR="000C4C4B" w:rsidRPr="00B33FD9">
        <w:t>this Order IS ADOPTED.</w:t>
      </w:r>
    </w:p>
    <w:p w:rsidR="002E2D13" w:rsidRPr="00B33FD9" w:rsidRDefault="002E2D13">
      <w:pPr>
        <w:pStyle w:val="ParaNum"/>
      </w:pPr>
      <w:r w:rsidRPr="00B33FD9">
        <w:t>IT IS FURTHER ORDERED that, pursuant to sections 0.91, 0.291, and 1.3 of the Commission’s rules, 47 C.F.R. §§ 0.91, 0.291, 1.3, section 54.600(b)(1) of the Commission’s rules, 47 C.F.R. § 54.600(b)(1), IS WAIVED to the extent described above.</w:t>
      </w:r>
    </w:p>
    <w:p w:rsidR="00185818" w:rsidRPr="00B33FD9" w:rsidRDefault="00185818" w:rsidP="006576A7">
      <w:pPr>
        <w:pStyle w:val="ParaNum"/>
        <w:spacing w:after="0"/>
      </w:pPr>
      <w:r w:rsidRPr="00B33FD9">
        <w:t xml:space="preserve">IT IS </w:t>
      </w:r>
      <w:r w:rsidR="000C4C4B" w:rsidRPr="00B33FD9">
        <w:t xml:space="preserve">FURTHER </w:t>
      </w:r>
      <w:r w:rsidRPr="00B33FD9">
        <w:t xml:space="preserve">ORDERED that, pursuant to </w:t>
      </w:r>
      <w:r w:rsidR="00505B06" w:rsidRPr="00B33FD9">
        <w:t xml:space="preserve">the authority contained in </w:t>
      </w:r>
      <w:r w:rsidRPr="00B33FD9">
        <w:t>section 1.102(b)(1) of the Commission’s rules, 47 C.F.R. § 1.102(b)(1), this Order SHALL BE EFFECTIVE upon release.</w:t>
      </w:r>
    </w:p>
    <w:p w:rsidR="00185818" w:rsidRPr="00B33FD9" w:rsidRDefault="00185818" w:rsidP="006576A7">
      <w:pPr>
        <w:pStyle w:val="ParaNum"/>
        <w:widowControl/>
        <w:numPr>
          <w:ilvl w:val="0"/>
          <w:numId w:val="0"/>
        </w:numPr>
        <w:spacing w:after="0"/>
      </w:pPr>
    </w:p>
    <w:p w:rsidR="00185818" w:rsidRPr="00B33FD9" w:rsidRDefault="00185818" w:rsidP="002E3509">
      <w:pPr>
        <w:pStyle w:val="ParaNum"/>
        <w:widowControl/>
        <w:numPr>
          <w:ilvl w:val="0"/>
          <w:numId w:val="0"/>
        </w:numPr>
        <w:spacing w:after="0"/>
        <w:outlineLvl w:val="0"/>
      </w:pPr>
      <w:r w:rsidRPr="00B33FD9">
        <w:tab/>
      </w:r>
      <w:r w:rsidRPr="00B33FD9">
        <w:tab/>
      </w:r>
      <w:r w:rsidRPr="00B33FD9">
        <w:tab/>
      </w:r>
      <w:r w:rsidRPr="00B33FD9">
        <w:tab/>
      </w:r>
      <w:r w:rsidRPr="00B33FD9">
        <w:tab/>
      </w:r>
      <w:r w:rsidR="00444B6D">
        <w:tab/>
      </w:r>
      <w:r w:rsidRPr="00B33FD9">
        <w:t>FEDERAL COMMUNICATIONS COMMISSION</w:t>
      </w:r>
    </w:p>
    <w:p w:rsidR="00185818" w:rsidRPr="00B33FD9" w:rsidRDefault="00185818">
      <w:pPr>
        <w:pStyle w:val="ParaNum"/>
        <w:widowControl/>
        <w:numPr>
          <w:ilvl w:val="0"/>
          <w:numId w:val="0"/>
        </w:numPr>
        <w:spacing w:after="0"/>
      </w:pPr>
    </w:p>
    <w:p w:rsidR="00185818" w:rsidRDefault="00185818">
      <w:pPr>
        <w:pStyle w:val="ParaNum"/>
        <w:widowControl/>
        <w:numPr>
          <w:ilvl w:val="0"/>
          <w:numId w:val="0"/>
        </w:numPr>
        <w:spacing w:after="0"/>
      </w:pPr>
    </w:p>
    <w:p w:rsidR="006576A7" w:rsidRPr="00B33FD9" w:rsidRDefault="006576A7">
      <w:pPr>
        <w:pStyle w:val="ParaNum"/>
        <w:widowControl/>
        <w:numPr>
          <w:ilvl w:val="0"/>
          <w:numId w:val="0"/>
        </w:numPr>
        <w:spacing w:after="0"/>
      </w:pPr>
    </w:p>
    <w:p w:rsidR="00185818" w:rsidRPr="00B33FD9" w:rsidRDefault="00185818">
      <w:pPr>
        <w:pStyle w:val="ParaNum"/>
        <w:widowControl/>
        <w:numPr>
          <w:ilvl w:val="0"/>
          <w:numId w:val="0"/>
        </w:numPr>
        <w:spacing w:after="0"/>
      </w:pPr>
    </w:p>
    <w:p w:rsidR="00185818" w:rsidRPr="00B33FD9" w:rsidRDefault="00185818" w:rsidP="002E3509">
      <w:pPr>
        <w:pStyle w:val="ParaNum"/>
        <w:widowControl/>
        <w:numPr>
          <w:ilvl w:val="0"/>
          <w:numId w:val="0"/>
        </w:numPr>
        <w:spacing w:after="0"/>
        <w:outlineLvl w:val="0"/>
      </w:pPr>
      <w:r w:rsidRPr="00B33FD9">
        <w:tab/>
      </w:r>
      <w:r w:rsidRPr="00B33FD9">
        <w:tab/>
      </w:r>
      <w:r w:rsidRPr="00B33FD9">
        <w:tab/>
      </w:r>
      <w:r w:rsidRPr="00B33FD9">
        <w:tab/>
      </w:r>
      <w:r w:rsidRPr="00B33FD9">
        <w:tab/>
      </w:r>
      <w:r w:rsidR="00444B6D">
        <w:tab/>
      </w:r>
      <w:r w:rsidR="00BA2B90">
        <w:t>Carol E</w:t>
      </w:r>
      <w:r w:rsidR="000C4C4B" w:rsidRPr="00B33FD9">
        <w:t xml:space="preserve">. </w:t>
      </w:r>
      <w:r w:rsidR="00BA2B90">
        <w:t>Mattey</w:t>
      </w:r>
    </w:p>
    <w:p w:rsidR="00BA2B90" w:rsidRDefault="00185818">
      <w:pPr>
        <w:pStyle w:val="ParaNum"/>
        <w:widowControl/>
        <w:numPr>
          <w:ilvl w:val="0"/>
          <w:numId w:val="0"/>
        </w:numPr>
        <w:spacing w:after="0"/>
      </w:pPr>
      <w:r w:rsidRPr="00B33FD9">
        <w:tab/>
      </w:r>
      <w:r w:rsidRPr="00B33FD9">
        <w:tab/>
      </w:r>
      <w:r w:rsidRPr="00B33FD9">
        <w:tab/>
      </w:r>
      <w:r w:rsidRPr="00B33FD9">
        <w:tab/>
      </w:r>
      <w:r w:rsidRPr="00B33FD9">
        <w:tab/>
      </w:r>
      <w:r w:rsidR="00444B6D">
        <w:tab/>
      </w:r>
      <w:r w:rsidR="00BA2B90">
        <w:t xml:space="preserve">Acting </w:t>
      </w:r>
      <w:r w:rsidRPr="00B33FD9">
        <w:t>Chief</w:t>
      </w:r>
    </w:p>
    <w:p w:rsidR="00185818" w:rsidRPr="00B33FD9" w:rsidRDefault="00185818" w:rsidP="00444B6D">
      <w:pPr>
        <w:pStyle w:val="ParaNum"/>
        <w:widowControl/>
        <w:numPr>
          <w:ilvl w:val="0"/>
          <w:numId w:val="0"/>
        </w:numPr>
        <w:spacing w:after="0"/>
        <w:ind w:left="3600" w:firstLine="720"/>
      </w:pPr>
      <w:r w:rsidRPr="00B33FD9">
        <w:t>Wireline Competition Bureau</w:t>
      </w:r>
    </w:p>
    <w:p w:rsidR="0036786E" w:rsidRPr="00B33FD9" w:rsidRDefault="0036786E">
      <w:pPr>
        <w:widowControl/>
      </w:pPr>
      <w:r w:rsidRPr="00B33FD9">
        <w:br w:type="page"/>
      </w:r>
    </w:p>
    <w:p w:rsidR="0036786E" w:rsidRPr="00B33FD9" w:rsidRDefault="0036786E" w:rsidP="00EE610F">
      <w:pPr>
        <w:pStyle w:val="ParaNum"/>
        <w:widowControl/>
        <w:numPr>
          <w:ilvl w:val="0"/>
          <w:numId w:val="0"/>
        </w:numPr>
        <w:spacing w:after="0"/>
        <w:jc w:val="center"/>
        <w:rPr>
          <w:b/>
        </w:rPr>
      </w:pPr>
      <w:r w:rsidRPr="00B33FD9">
        <w:rPr>
          <w:b/>
        </w:rPr>
        <w:t>APPENDIX A</w:t>
      </w:r>
    </w:p>
    <w:p w:rsidR="0036786E" w:rsidRPr="00B33FD9" w:rsidRDefault="0036786E" w:rsidP="00EE610F">
      <w:pPr>
        <w:pStyle w:val="ParaNum"/>
        <w:widowControl/>
        <w:numPr>
          <w:ilvl w:val="0"/>
          <w:numId w:val="0"/>
        </w:numPr>
        <w:spacing w:after="0"/>
        <w:jc w:val="center"/>
        <w:rPr>
          <w:b/>
        </w:rPr>
      </w:pPr>
    </w:p>
    <w:p w:rsidR="0036786E" w:rsidRPr="00B33FD9" w:rsidRDefault="0036786E" w:rsidP="00EE610F">
      <w:pPr>
        <w:pStyle w:val="ParaNum"/>
        <w:widowControl/>
        <w:numPr>
          <w:ilvl w:val="0"/>
          <w:numId w:val="0"/>
        </w:numPr>
        <w:spacing w:after="0"/>
        <w:jc w:val="center"/>
        <w:rPr>
          <w:b/>
        </w:rPr>
      </w:pPr>
      <w:r w:rsidRPr="00B33FD9">
        <w:rPr>
          <w:b/>
        </w:rPr>
        <w:t xml:space="preserve">Impact of </w:t>
      </w:r>
      <w:r w:rsidR="00936385">
        <w:rPr>
          <w:b/>
        </w:rPr>
        <w:t xml:space="preserve">Updated </w:t>
      </w:r>
      <w:r w:rsidRPr="00B33FD9">
        <w:rPr>
          <w:b/>
        </w:rPr>
        <w:t xml:space="preserve">Rural Areas List on </w:t>
      </w:r>
      <w:r w:rsidR="009637CA" w:rsidRPr="00B33FD9">
        <w:rPr>
          <w:b/>
        </w:rPr>
        <w:t>Rural Health Care Program Participants</w:t>
      </w:r>
    </w:p>
    <w:p w:rsidR="0036786E" w:rsidRPr="00B33FD9" w:rsidRDefault="0036786E" w:rsidP="00EE610F">
      <w:pPr>
        <w:pStyle w:val="ParaNum"/>
        <w:widowControl/>
        <w:numPr>
          <w:ilvl w:val="0"/>
          <w:numId w:val="0"/>
        </w:numPr>
        <w:spacing w:after="0"/>
        <w:jc w:val="center"/>
        <w:rPr>
          <w:b/>
        </w:rPr>
      </w:pPr>
    </w:p>
    <w:tbl>
      <w:tblPr>
        <w:tblStyle w:val="TableGrid"/>
        <w:tblW w:w="9760" w:type="dxa"/>
        <w:jc w:val="center"/>
        <w:tblInd w:w="720" w:type="dxa"/>
        <w:tblLook w:val="04A0" w:firstRow="1" w:lastRow="0" w:firstColumn="1" w:lastColumn="0" w:noHBand="0" w:noVBand="1"/>
      </w:tblPr>
      <w:tblGrid>
        <w:gridCol w:w="4880"/>
        <w:gridCol w:w="4880"/>
      </w:tblGrid>
      <w:tr w:rsidR="0036786E" w:rsidRPr="00B33FD9" w:rsidTr="00E3603D">
        <w:trPr>
          <w:trHeight w:val="266"/>
          <w:jc w:val="center"/>
        </w:trPr>
        <w:tc>
          <w:tcPr>
            <w:tcW w:w="4880" w:type="dxa"/>
          </w:tcPr>
          <w:p w:rsidR="0036786E" w:rsidRPr="00B33FD9" w:rsidRDefault="002E4F18" w:rsidP="0059798B">
            <w:pPr>
              <w:pStyle w:val="ParaNum"/>
              <w:widowControl/>
              <w:numPr>
                <w:ilvl w:val="0"/>
                <w:numId w:val="0"/>
              </w:numPr>
              <w:spacing w:after="0"/>
            </w:pPr>
            <w:r w:rsidRPr="00B33FD9">
              <w:t>Effect of updated Rural Areas List on current HCPs participating in the Rural Health</w:t>
            </w:r>
            <w:r w:rsidR="0059798B">
              <w:t xml:space="preserve"> C</w:t>
            </w:r>
            <w:r w:rsidRPr="00B33FD9">
              <w:t>are Program.</w:t>
            </w:r>
          </w:p>
        </w:tc>
        <w:tc>
          <w:tcPr>
            <w:tcW w:w="4880" w:type="dxa"/>
          </w:tcPr>
          <w:p w:rsidR="002E4F18" w:rsidRPr="00B33FD9" w:rsidRDefault="00E3603D" w:rsidP="00EE610F">
            <w:r>
              <w:t>HCP sites that were previously</w:t>
            </w:r>
            <w:r w:rsidR="002E4F18" w:rsidRPr="00B33FD9">
              <w:t xml:space="preserve"> determined </w:t>
            </w:r>
            <w:r>
              <w:t xml:space="preserve">to be </w:t>
            </w:r>
            <w:r w:rsidR="002E4F18" w:rsidRPr="00B33FD9">
              <w:t>“rural” by USAC and subsequently ha</w:t>
            </w:r>
            <w:r w:rsidR="00936385">
              <w:t xml:space="preserve">ve </w:t>
            </w:r>
            <w:r w:rsidR="002E4F18" w:rsidRPr="00B33FD9">
              <w:t>the</w:t>
            </w:r>
            <w:r>
              <w:t>ir status change to “non-rural</w:t>
            </w:r>
            <w:r w:rsidR="002E4F18" w:rsidRPr="00B33FD9">
              <w:t>”</w:t>
            </w:r>
            <w:r>
              <w:t xml:space="preserve"> as a result of the Rural Areas Update</w:t>
            </w:r>
            <w:r w:rsidR="002E4F18" w:rsidRPr="00B33FD9">
              <w:t xml:space="preserve"> may seek funding for the remainder of that funding year i</w:t>
            </w:r>
            <w:r>
              <w:t>n which the list</w:t>
            </w:r>
            <w:r w:rsidR="002E4F18" w:rsidRPr="00B33FD9">
              <w:t xml:space="preserve"> updated and</w:t>
            </w:r>
            <w:r w:rsidR="00C56A28" w:rsidRPr="00B33FD9">
              <w:t xml:space="preserve"> the following </w:t>
            </w:r>
            <w:r w:rsidR="002E4F18" w:rsidRPr="00B33FD9">
              <w:t xml:space="preserve">funding year. </w:t>
            </w:r>
          </w:p>
          <w:p w:rsidR="0036786E" w:rsidRPr="00B33FD9" w:rsidRDefault="0036786E" w:rsidP="009637CA">
            <w:pPr>
              <w:pStyle w:val="ParaNum"/>
              <w:widowControl/>
              <w:numPr>
                <w:ilvl w:val="0"/>
                <w:numId w:val="0"/>
              </w:numPr>
              <w:spacing w:after="0"/>
              <w:jc w:val="center"/>
              <w:rPr>
                <w:b/>
              </w:rPr>
            </w:pPr>
          </w:p>
        </w:tc>
      </w:tr>
      <w:tr w:rsidR="002E4F18" w:rsidRPr="00B33FD9" w:rsidTr="00E3603D">
        <w:trPr>
          <w:trHeight w:val="266"/>
          <w:jc w:val="center"/>
        </w:trPr>
        <w:tc>
          <w:tcPr>
            <w:tcW w:w="4880" w:type="dxa"/>
          </w:tcPr>
          <w:p w:rsidR="002E4F18" w:rsidRPr="00B33FD9" w:rsidRDefault="002E4F18" w:rsidP="000300DC">
            <w:r w:rsidRPr="00B33FD9">
              <w:t>Effect of updated Rural Areas List on</w:t>
            </w:r>
            <w:r w:rsidR="002D6FFB">
              <w:t xml:space="preserve"> HCPs participating in</w:t>
            </w:r>
            <w:r w:rsidRPr="00B33FD9">
              <w:t xml:space="preserve"> c</w:t>
            </w:r>
            <w:r w:rsidR="009637CA" w:rsidRPr="00B33FD9">
              <w:t>onsortia</w:t>
            </w:r>
            <w:r w:rsidRPr="00B33FD9">
              <w:t xml:space="preserve"> and the majority-rural requirement</w:t>
            </w:r>
            <w:r w:rsidR="002D6FFB">
              <w:t xml:space="preserve"> for consortia in </w:t>
            </w:r>
            <w:r w:rsidRPr="00B33FD9">
              <w:t xml:space="preserve">the Healthcare Connect Fund.  </w:t>
            </w:r>
          </w:p>
        </w:tc>
        <w:tc>
          <w:tcPr>
            <w:tcW w:w="4880" w:type="dxa"/>
          </w:tcPr>
          <w:p w:rsidR="002E4F18" w:rsidRPr="00B33FD9" w:rsidRDefault="002E4F18" w:rsidP="00EE610F">
            <w:r w:rsidRPr="00B33FD9">
              <w:t xml:space="preserve">HCP sites that have received a funding commitment as part of a consortium before </w:t>
            </w:r>
            <w:r w:rsidR="00936385">
              <w:t xml:space="preserve">the </w:t>
            </w:r>
            <w:r w:rsidR="00C51FCA" w:rsidRPr="00B33FD9">
              <w:t xml:space="preserve">Rural Areas List </w:t>
            </w:r>
            <w:r w:rsidR="00936385">
              <w:t>i</w:t>
            </w:r>
            <w:r w:rsidR="00C51FCA" w:rsidRPr="00B33FD9">
              <w:t xml:space="preserve">s </w:t>
            </w:r>
            <w:r w:rsidRPr="00B33FD9">
              <w:t xml:space="preserve">updated and have their status changed </w:t>
            </w:r>
            <w:r w:rsidR="00E3603D">
              <w:t xml:space="preserve">from “rural” to “non-rural” </w:t>
            </w:r>
            <w:r w:rsidRPr="00B33FD9">
              <w:t xml:space="preserve">as a result of the update can count as “rural” </w:t>
            </w:r>
            <w:r w:rsidR="00E3603D">
              <w:t xml:space="preserve">towards the consortium’s majority rural requirements </w:t>
            </w:r>
            <w:r w:rsidRPr="00B33FD9">
              <w:t>for the remainder of that funding year</w:t>
            </w:r>
            <w:r w:rsidR="00E3603D">
              <w:t xml:space="preserve"> in which the Rural Areas List was updated</w:t>
            </w:r>
            <w:r w:rsidRPr="00B33FD9">
              <w:t xml:space="preserve"> </w:t>
            </w:r>
            <w:r w:rsidR="00C56A28" w:rsidRPr="00B33FD9">
              <w:t>and the following funding year</w:t>
            </w:r>
            <w:r w:rsidRPr="00B33FD9">
              <w:t xml:space="preserve">. </w:t>
            </w:r>
          </w:p>
          <w:p w:rsidR="002E4F18" w:rsidRPr="00B33FD9" w:rsidRDefault="002E4F18" w:rsidP="00EE610F"/>
          <w:p w:rsidR="002E4F18" w:rsidRPr="00B33FD9" w:rsidRDefault="002E4F18" w:rsidP="00EE610F">
            <w:r w:rsidRPr="00B33FD9">
              <w:t xml:space="preserve">Sites that have not </w:t>
            </w:r>
            <w:r w:rsidR="00936385">
              <w:t xml:space="preserve">yet </w:t>
            </w:r>
            <w:r w:rsidR="005E1BD4">
              <w:t>sought a funding</w:t>
            </w:r>
            <w:r w:rsidR="00E3603D">
              <w:t xml:space="preserve"> commitment and change from “rural” to </w:t>
            </w:r>
            <w:r w:rsidRPr="00B33FD9">
              <w:t>“non-rural” as a result of the update must immediately count as a “non-rural” HCP site towards the majority-rural requirement for consortia.</w:t>
            </w:r>
          </w:p>
          <w:p w:rsidR="002E4F18" w:rsidRPr="00B33FD9" w:rsidRDefault="002E4F18" w:rsidP="009637CA"/>
        </w:tc>
      </w:tr>
      <w:tr w:rsidR="002E4F18" w:rsidRPr="00B33FD9" w:rsidTr="00E3603D">
        <w:trPr>
          <w:trHeight w:val="266"/>
          <w:jc w:val="center"/>
        </w:trPr>
        <w:tc>
          <w:tcPr>
            <w:tcW w:w="4880" w:type="dxa"/>
          </w:tcPr>
          <w:p w:rsidR="002E4F18" w:rsidRPr="00B33FD9" w:rsidRDefault="002E4F18" w:rsidP="00EE610F">
            <w:r w:rsidRPr="00B33FD9">
              <w:t>Effect of updated Rural Areas List on HCPs with multi-year funding commitments</w:t>
            </w:r>
            <w:r w:rsidR="00E3603D">
              <w:t>.</w:t>
            </w:r>
          </w:p>
        </w:tc>
        <w:tc>
          <w:tcPr>
            <w:tcW w:w="4880" w:type="dxa"/>
          </w:tcPr>
          <w:p w:rsidR="002E4F18" w:rsidRPr="00B33FD9" w:rsidRDefault="002E4F18" w:rsidP="00EE610F">
            <w:r w:rsidRPr="00B33FD9">
              <w:t xml:space="preserve">HCP sites that have received a multi-year funding commitment before the </w:t>
            </w:r>
            <w:r w:rsidR="00E3603D">
              <w:t xml:space="preserve">Rural Areas List </w:t>
            </w:r>
            <w:r w:rsidRPr="00B33FD9">
              <w:t xml:space="preserve">update </w:t>
            </w:r>
            <w:r w:rsidR="00E3603D">
              <w:t xml:space="preserve">and change from “rural” to </w:t>
            </w:r>
            <w:r w:rsidR="00E3603D" w:rsidRPr="00B33FD9">
              <w:t xml:space="preserve">“non-rural” as a result of the update </w:t>
            </w:r>
            <w:r w:rsidRPr="00B33FD9">
              <w:t>retain their “rural” status for the duration of the commitment.  </w:t>
            </w:r>
          </w:p>
          <w:p w:rsidR="002E4F18" w:rsidRPr="00B33FD9" w:rsidRDefault="002E4F18" w:rsidP="00EE610F"/>
          <w:p w:rsidR="00446CE7" w:rsidRDefault="00446CE7" w:rsidP="00EE610F">
            <w:r>
              <w:t xml:space="preserve">HCP </w:t>
            </w:r>
            <w:r w:rsidRPr="00B33FD9">
              <w:t xml:space="preserve">sites that previously </w:t>
            </w:r>
            <w:r>
              <w:t>were</w:t>
            </w:r>
            <w:r w:rsidRPr="00B33FD9">
              <w:t xml:space="preserve"> “rural” prior to the Rural Areas List update</w:t>
            </w:r>
            <w:r>
              <w:t>,</w:t>
            </w:r>
            <w:r w:rsidRPr="00B33FD9">
              <w:t xml:space="preserve"> </w:t>
            </w:r>
            <w:r>
              <w:t xml:space="preserve">have sought </w:t>
            </w:r>
            <w:r w:rsidRPr="00B33FD9">
              <w:t xml:space="preserve">but have </w:t>
            </w:r>
            <w:r>
              <w:t xml:space="preserve">not </w:t>
            </w:r>
            <w:r w:rsidRPr="00B33FD9">
              <w:t xml:space="preserve">yet </w:t>
            </w:r>
            <w:r>
              <w:t>received</w:t>
            </w:r>
            <w:r w:rsidRPr="00B33FD9">
              <w:t xml:space="preserve"> a </w:t>
            </w:r>
            <w:r>
              <w:t xml:space="preserve">HCF </w:t>
            </w:r>
            <w:r w:rsidRPr="00B33FD9">
              <w:t>commitmen</w:t>
            </w:r>
            <w:r>
              <w:t xml:space="preserve">t, can receive funding as “rural” for the term of the multi-year funding commitment.  </w:t>
            </w:r>
          </w:p>
          <w:p w:rsidR="00446CE7" w:rsidRDefault="00446CE7" w:rsidP="00EE610F"/>
          <w:p w:rsidR="002E4F18" w:rsidRPr="00B33FD9" w:rsidRDefault="002E4F18" w:rsidP="00EE610F">
            <w:r w:rsidRPr="00B33FD9">
              <w:t xml:space="preserve">HCP sites that have not </w:t>
            </w:r>
            <w:r w:rsidR="005E1BD4">
              <w:t>sought a</w:t>
            </w:r>
            <w:r w:rsidRPr="00B33FD9">
              <w:t xml:space="preserve"> funding commitment and </w:t>
            </w:r>
            <w:r w:rsidR="00E3603D">
              <w:t>change</w:t>
            </w:r>
            <w:r w:rsidR="0084198C">
              <w:t xml:space="preserve"> </w:t>
            </w:r>
            <w:r w:rsidR="00E3603D">
              <w:t xml:space="preserve">from “rural” to </w:t>
            </w:r>
            <w:r w:rsidRPr="00B33FD9">
              <w:t xml:space="preserve">“non-rural” as a result of the </w:t>
            </w:r>
            <w:r w:rsidR="00E3603D">
              <w:t xml:space="preserve">Rural Areas List </w:t>
            </w:r>
            <w:r w:rsidRPr="00B33FD9">
              <w:t xml:space="preserve">update can seek funding for the remainder of the funding year in which the update </w:t>
            </w:r>
            <w:r w:rsidR="00811218">
              <w:t xml:space="preserve">is </w:t>
            </w:r>
            <w:r w:rsidRPr="00B33FD9">
              <w:t xml:space="preserve">made </w:t>
            </w:r>
            <w:r w:rsidR="00C56A28" w:rsidRPr="00B33FD9">
              <w:t>and the following funding year</w:t>
            </w:r>
            <w:r w:rsidRPr="00B33FD9">
              <w:t>.</w:t>
            </w:r>
          </w:p>
          <w:p w:rsidR="002E4F18" w:rsidRPr="00B33FD9" w:rsidRDefault="002E4F18" w:rsidP="009637CA"/>
          <w:p w:rsidR="00C56A28" w:rsidRPr="00B33FD9" w:rsidRDefault="00C56A28" w:rsidP="00447CE9">
            <w:r w:rsidRPr="00B33FD9">
              <w:t>HCP sites that received a multi-year funding commitment as a Pilot or HCF consortium member, and</w:t>
            </w:r>
            <w:r w:rsidR="00E3603D">
              <w:t xml:space="preserve"> have</w:t>
            </w:r>
            <w:r w:rsidRPr="00B33FD9">
              <w:t xml:space="preserve"> change from “rural” to “non-rural” as a result of an update</w:t>
            </w:r>
            <w:r w:rsidR="00E3603D">
              <w:t xml:space="preserve"> to the Rural Areas List</w:t>
            </w:r>
            <w:r w:rsidRPr="00B33FD9">
              <w:t xml:space="preserve"> maintain their “rural” status and count towards the consortium’s majority rural calculation until the expiration of the funding commitment.</w:t>
            </w:r>
          </w:p>
        </w:tc>
      </w:tr>
      <w:tr w:rsidR="009637CA" w:rsidRPr="00B33FD9" w:rsidTr="00E3603D">
        <w:trPr>
          <w:trHeight w:val="266"/>
          <w:jc w:val="center"/>
        </w:trPr>
        <w:tc>
          <w:tcPr>
            <w:tcW w:w="4880" w:type="dxa"/>
          </w:tcPr>
          <w:p w:rsidR="009637CA" w:rsidRPr="00B33FD9" w:rsidRDefault="009637CA" w:rsidP="009637CA">
            <w:r w:rsidRPr="00B33FD9">
              <w:t xml:space="preserve">Effect of the updated Rural Areas List on new applicants to the Rural Health Care program. </w:t>
            </w:r>
          </w:p>
        </w:tc>
        <w:tc>
          <w:tcPr>
            <w:tcW w:w="4880" w:type="dxa"/>
          </w:tcPr>
          <w:p w:rsidR="009637CA" w:rsidRPr="00B33FD9" w:rsidRDefault="009637CA" w:rsidP="00EE610F">
            <w:r w:rsidRPr="00B33FD9">
              <w:t xml:space="preserve">The Rural Areas List should be used to determine eligibility for new RHC applicants. </w:t>
            </w:r>
          </w:p>
          <w:p w:rsidR="009637CA" w:rsidRPr="00B33FD9" w:rsidRDefault="009637CA" w:rsidP="009637CA"/>
        </w:tc>
      </w:tr>
    </w:tbl>
    <w:p w:rsidR="0036786E" w:rsidRPr="00B33FD9" w:rsidRDefault="0036786E" w:rsidP="00E3603D">
      <w:pPr>
        <w:pStyle w:val="ParaNum"/>
        <w:widowControl/>
        <w:numPr>
          <w:ilvl w:val="0"/>
          <w:numId w:val="0"/>
        </w:numPr>
        <w:spacing w:after="0"/>
        <w:rPr>
          <w:b/>
        </w:rPr>
      </w:pPr>
    </w:p>
    <w:sectPr w:rsidR="0036786E" w:rsidRPr="00B33FD9" w:rsidSect="00CB24C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75E" w:rsidRDefault="00B5475E">
      <w:r>
        <w:separator/>
      </w:r>
    </w:p>
  </w:endnote>
  <w:endnote w:type="continuationSeparator" w:id="0">
    <w:p w:rsidR="00B5475E" w:rsidRDefault="00B5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DD" w:rsidRDefault="00FD4B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42" w:rsidRDefault="00FB6042">
    <w:pPr>
      <w:pStyle w:val="Footer"/>
      <w:jc w:val="center"/>
    </w:pPr>
    <w:r>
      <w:rPr>
        <w:rStyle w:val="PageNumber"/>
      </w:rPr>
      <w:fldChar w:fldCharType="begin"/>
    </w:r>
    <w:r>
      <w:rPr>
        <w:rStyle w:val="PageNumber"/>
      </w:rPr>
      <w:instrText xml:space="preserve"> PAGE </w:instrText>
    </w:r>
    <w:r>
      <w:rPr>
        <w:rStyle w:val="PageNumber"/>
      </w:rPr>
      <w:fldChar w:fldCharType="separate"/>
    </w:r>
    <w:r w:rsidR="00444B6D">
      <w:rPr>
        <w:rStyle w:val="PageNumber"/>
        <w:noProof/>
      </w:rPr>
      <w:t>8</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DD" w:rsidRDefault="00FD4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75E" w:rsidRDefault="00B5475E">
      <w:pPr>
        <w:rPr>
          <w:sz w:val="20"/>
        </w:rPr>
      </w:pPr>
      <w:r>
        <w:rPr>
          <w:sz w:val="20"/>
        </w:rPr>
        <w:separator/>
      </w:r>
    </w:p>
  </w:footnote>
  <w:footnote w:type="continuationSeparator" w:id="0">
    <w:p w:rsidR="00B5475E" w:rsidRDefault="00B5475E">
      <w:pPr>
        <w:rPr>
          <w:sz w:val="20"/>
        </w:rPr>
      </w:pPr>
      <w:r>
        <w:rPr>
          <w:sz w:val="20"/>
        </w:rPr>
        <w:separator/>
      </w:r>
    </w:p>
    <w:p w:rsidR="00B5475E" w:rsidRDefault="00B5475E">
      <w:pPr>
        <w:rPr>
          <w:sz w:val="20"/>
        </w:rPr>
      </w:pPr>
      <w:r>
        <w:rPr>
          <w:sz w:val="20"/>
        </w:rPr>
        <w:t>(...continued from previous page)</w:t>
      </w:r>
    </w:p>
  </w:footnote>
  <w:footnote w:type="continuationNotice" w:id="1">
    <w:p w:rsidR="00B5475E" w:rsidRDefault="00B5475E">
      <w:pPr>
        <w:jc w:val="right"/>
        <w:rPr>
          <w:sz w:val="20"/>
        </w:rPr>
      </w:pPr>
      <w:r>
        <w:rPr>
          <w:sz w:val="20"/>
        </w:rPr>
        <w:t>(continued....)</w:t>
      </w:r>
    </w:p>
  </w:footnote>
  <w:footnote w:id="2">
    <w:p w:rsidR="009253E2" w:rsidRPr="003233E0" w:rsidRDefault="009253E2" w:rsidP="009253E2">
      <w:pPr>
        <w:pStyle w:val="FootnoteText"/>
      </w:pPr>
      <w:r w:rsidRPr="003233E0">
        <w:rPr>
          <w:rStyle w:val="FootnoteReference"/>
        </w:rPr>
        <w:footnoteRef/>
      </w:r>
      <w:r w:rsidRPr="003233E0">
        <w:t xml:space="preserve"> 47 C.F.R. § 54.600(b)(1).  We note that § 54.600(b)(2) of the Commission’s rules deems eligible for support any </w:t>
      </w:r>
      <w:r>
        <w:t>health care provider</w:t>
      </w:r>
      <w:r w:rsidRPr="003233E0">
        <w:t xml:space="preserve"> that is “located in a ‘rural area’ under the definition used by the Commission prior to July 1, 2005, and received a funding commitment from the rural health care program prior to July 1, 2005.”  47 C.F.R. § 54.600(b)(2).  This Order has no effect on the eligibility of those </w:t>
      </w:r>
      <w:r>
        <w:t>health care provider</w:t>
      </w:r>
      <w:r w:rsidRPr="003233E0">
        <w:t xml:space="preserve"> sites meeting the criteria of § 54.600(b)(2).  </w:t>
      </w:r>
    </w:p>
  </w:footnote>
  <w:footnote w:id="3">
    <w:p w:rsidR="00FB6042" w:rsidRPr="00FF05B6" w:rsidRDefault="00FB6042" w:rsidP="002B0C32">
      <w:pPr>
        <w:pStyle w:val="FootnoteText"/>
      </w:pPr>
      <w:r>
        <w:rPr>
          <w:rStyle w:val="FootnoteReference"/>
        </w:rPr>
        <w:footnoteRef/>
      </w:r>
      <w:r>
        <w:t xml:space="preserve"> The Commission’s “Rural Health Care Program” is made up of the Telecommunications program, Internet Access program, the Rural Health Care Pilot Program, and the Healthcare Connect Fund.  </w:t>
      </w:r>
      <w:r>
        <w:rPr>
          <w:i/>
        </w:rPr>
        <w:t xml:space="preserve">See generally Rural Health Care Support Mechanism, </w:t>
      </w:r>
      <w:r>
        <w:t xml:space="preserve">WC </w:t>
      </w:r>
      <w:r w:rsidRPr="001A5F96">
        <w:rPr>
          <w:i/>
        </w:rPr>
        <w:t>Docket</w:t>
      </w:r>
      <w:r>
        <w:t xml:space="preserve"> No. 02-60, Report and Order, 27 FCC Rcd 16678 (2012) (</w:t>
      </w:r>
      <w:r>
        <w:rPr>
          <w:i/>
        </w:rPr>
        <w:t xml:space="preserve">HCF Order) </w:t>
      </w:r>
      <w:r>
        <w:t>(providing information on the then-current rural health care universal service support programs and adopting the Healthcare Connect Fund)</w:t>
      </w:r>
      <w:r>
        <w:rPr>
          <w:i/>
        </w:rPr>
        <w:t xml:space="preserve">. </w:t>
      </w:r>
    </w:p>
  </w:footnote>
  <w:footnote w:id="4">
    <w:p w:rsidR="00FB6042" w:rsidRDefault="00FB6042">
      <w:pPr>
        <w:pStyle w:val="FootnoteText"/>
      </w:pPr>
      <w:r>
        <w:rPr>
          <w:rStyle w:val="FootnoteReference"/>
        </w:rPr>
        <w:footnoteRef/>
      </w:r>
      <w:r>
        <w:t xml:space="preserve"> Telecommunications Act of 1996, Pub. L. No. 104-104, 110 Stat. 56 (1996).  The 1996 Act amended the Communications Act of 1934 (Communications Act or Act).</w:t>
      </w:r>
    </w:p>
  </w:footnote>
  <w:footnote w:id="5">
    <w:p w:rsidR="00FB6042" w:rsidRDefault="00FB6042" w:rsidP="00EE1F13">
      <w:pPr>
        <w:pStyle w:val="FootnoteText"/>
      </w:pPr>
      <w:r>
        <w:rPr>
          <w:rStyle w:val="FootnoteReference"/>
        </w:rPr>
        <w:footnoteRef/>
      </w:r>
      <w:r>
        <w:t xml:space="preserve"> S. Report No. 104-230 at 133 (1996); </w:t>
      </w:r>
      <w:r>
        <w:rPr>
          <w:i/>
        </w:rPr>
        <w:t>see also</w:t>
      </w:r>
      <w:r>
        <w:t xml:space="preserve"> 47 U.S.C. § 254(b)(3), (h).</w:t>
      </w:r>
    </w:p>
  </w:footnote>
  <w:footnote w:id="6">
    <w:p w:rsidR="00FB6042" w:rsidRDefault="00FB6042" w:rsidP="00EE1F13">
      <w:pPr>
        <w:pStyle w:val="FootnoteText"/>
      </w:pPr>
      <w:r>
        <w:rPr>
          <w:rStyle w:val="FootnoteReference"/>
        </w:rPr>
        <w:footnoteRef/>
      </w:r>
      <w:r>
        <w:t xml:space="preserve"> 47 U.S.C. § 254(h)(1)(A).</w:t>
      </w:r>
    </w:p>
  </w:footnote>
  <w:footnote w:id="7">
    <w:p w:rsidR="00FB6042" w:rsidRDefault="00FB6042" w:rsidP="008A318C">
      <w:pPr>
        <w:pStyle w:val="FootnoteText"/>
      </w:pPr>
      <w:r>
        <w:rPr>
          <w:rStyle w:val="FootnoteReference"/>
        </w:rPr>
        <w:footnoteRef/>
      </w:r>
      <w:r>
        <w:t xml:space="preserve"> 47 U.S.C. § 254(h)(7)(B).</w:t>
      </w:r>
    </w:p>
  </w:footnote>
  <w:footnote w:id="8">
    <w:p w:rsidR="00FB6042" w:rsidRDefault="00FB6042" w:rsidP="008A318C">
      <w:pPr>
        <w:pStyle w:val="FootnoteText"/>
      </w:pPr>
      <w:r>
        <w:rPr>
          <w:rStyle w:val="FootnoteReference"/>
        </w:rPr>
        <w:footnoteRef/>
      </w:r>
      <w:r>
        <w:t xml:space="preserve"> 47 U.S.C. §§ 254(h)(1)(A), (h)(2)(A), (h)(4).  </w:t>
      </w:r>
    </w:p>
  </w:footnote>
  <w:footnote w:id="9">
    <w:p w:rsidR="00FB6042" w:rsidRPr="00967674" w:rsidRDefault="00FB6042">
      <w:pPr>
        <w:pStyle w:val="FootnoteText"/>
        <w:rPr>
          <w:i/>
        </w:rPr>
      </w:pPr>
      <w:r>
        <w:rPr>
          <w:rStyle w:val="FootnoteReference"/>
        </w:rPr>
        <w:footnoteRef/>
      </w:r>
      <w:r>
        <w:t xml:space="preserve"> </w:t>
      </w:r>
      <w:r w:rsidRPr="00D968A3">
        <w:rPr>
          <w:i/>
        </w:rPr>
        <w:t>See, e.g.</w:t>
      </w:r>
      <w:r w:rsidRPr="00D968A3">
        <w:t xml:space="preserve">, 47 U.S.C. § 254(h)(1)(A); </w:t>
      </w:r>
      <w:r w:rsidRPr="00D968A3">
        <w:rPr>
          <w:i/>
        </w:rPr>
        <w:t>Federal-State Joint Board on Universal Service</w:t>
      </w:r>
      <w:r w:rsidRPr="00D968A3">
        <w:t>, CC Docket No. 96-45, Report and Order, 12 FCC Rcd 8776, 9093-9161, paras. 608-749 (1997) (</w:t>
      </w:r>
      <w:r w:rsidRPr="00D968A3">
        <w:rPr>
          <w:i/>
        </w:rPr>
        <w:t>Universal Service First Report and Order</w:t>
      </w:r>
      <w:r w:rsidRPr="00D968A3">
        <w:t>) (subsequent history omitted); 47 C.F.R. Part 54, Subpart G.</w:t>
      </w:r>
      <w:r>
        <w:t xml:space="preserve">  The </w:t>
      </w:r>
      <w:r>
        <w:rPr>
          <w:i/>
        </w:rPr>
        <w:t>Universal Service First Report and Order</w:t>
      </w:r>
      <w:r>
        <w:t xml:space="preserve"> created the Rural Health Care Telecommunications Program. </w:t>
      </w:r>
      <w:r w:rsidR="003D119B">
        <w:t xml:space="preserve"> </w:t>
      </w:r>
      <w:r>
        <w:rPr>
          <w:i/>
        </w:rPr>
        <w:t xml:space="preserve">Id. </w:t>
      </w:r>
      <w:r>
        <w:t xml:space="preserve">at 9093, para. 608.  The RHC Internet Access, Pilot and HCF programs were created subsequently. </w:t>
      </w:r>
      <w:r w:rsidR="003D119B">
        <w:t xml:space="preserve"> </w:t>
      </w:r>
      <w:r>
        <w:rPr>
          <w:i/>
        </w:rPr>
        <w:t xml:space="preserve">See </w:t>
      </w:r>
      <w:r>
        <w:t>47 C.F.R. § 54.621</w:t>
      </w:r>
      <w:r w:rsidR="001D7A2E">
        <w:t>;</w:t>
      </w:r>
      <w:r>
        <w:t xml:space="preserve"> </w:t>
      </w:r>
      <w:r w:rsidR="001D7A2E">
        <w:rPr>
          <w:i/>
        </w:rPr>
        <w:t>s</w:t>
      </w:r>
      <w:r>
        <w:rPr>
          <w:i/>
        </w:rPr>
        <w:t>ee generally Rural Health Care Support Mechanism</w:t>
      </w:r>
      <w:r>
        <w:t>, WC Docket No. 02-60, Report and Order, Order on Reconsideration, and Further Notice of Proposed Rulemaking, 18 FCC Rcd 24546 (2003) (</w:t>
      </w:r>
      <w:r>
        <w:rPr>
          <w:i/>
        </w:rPr>
        <w:t>2003 Order and Further Notice</w:t>
      </w:r>
      <w:r>
        <w:t xml:space="preserve">); </w:t>
      </w:r>
      <w:r w:rsidRPr="00D968A3">
        <w:rPr>
          <w:i/>
        </w:rPr>
        <w:t>Rural Health Care Support Mechanism</w:t>
      </w:r>
      <w:r w:rsidRPr="00D968A3">
        <w:t>, WC Docket No. 02-60, Order, 21 FCC Rcd 11111 (2006) (</w:t>
      </w:r>
      <w:r w:rsidRPr="00D968A3">
        <w:rPr>
          <w:i/>
        </w:rPr>
        <w:t>2006 Pilot Program Order</w:t>
      </w:r>
      <w:r w:rsidRPr="00D968A3">
        <w:t>)</w:t>
      </w:r>
      <w:r>
        <w:t xml:space="preserve">; </w:t>
      </w:r>
      <w:r>
        <w:rPr>
          <w:i/>
        </w:rPr>
        <w:t xml:space="preserve">HCF Order, </w:t>
      </w:r>
      <w:r>
        <w:t>27 FCC Rcd 16678.</w:t>
      </w:r>
    </w:p>
  </w:footnote>
  <w:footnote w:id="10">
    <w:p w:rsidR="00FB6042" w:rsidRPr="003233E0" w:rsidRDefault="00FB6042" w:rsidP="00D968A3">
      <w:pPr>
        <w:pStyle w:val="FootnoteText"/>
      </w:pPr>
      <w:r w:rsidRPr="003233E0">
        <w:rPr>
          <w:rStyle w:val="FootnoteReference"/>
        </w:rPr>
        <w:footnoteRef/>
      </w:r>
      <w:r w:rsidRPr="003233E0">
        <w:t xml:space="preserve"> </w:t>
      </w:r>
      <w:r w:rsidRPr="003233E0">
        <w:rPr>
          <w:i/>
        </w:rPr>
        <w:t>See</w:t>
      </w:r>
      <w:r w:rsidRPr="003233E0">
        <w:t xml:space="preserve"> Harold F. Goldsmith, Dena S. Puskin, &amp; Diane J. Stiles, </w:t>
      </w:r>
      <w:r w:rsidRPr="003233E0">
        <w:rPr>
          <w:i/>
        </w:rPr>
        <w:t>Improving the Operational Definition of “Rural Areas” for Federal Programs</w:t>
      </w:r>
      <w:r w:rsidRPr="003233E0">
        <w:rPr>
          <w:smallCaps/>
        </w:rPr>
        <w:t xml:space="preserve">, Federal Office of Rural Health Policy (1993), </w:t>
      </w:r>
      <w:r w:rsidRPr="003233E0">
        <w:t>http://www.raconline.org/pdf/improving-the-operational-definition-of-rural-areas.pdf</w:t>
      </w:r>
      <w:r w:rsidRPr="003233E0">
        <w:rPr>
          <w:smallCaps/>
        </w:rPr>
        <w:t xml:space="preserve">  </w:t>
      </w:r>
      <w:r w:rsidRPr="003233E0">
        <w:t xml:space="preserve">(describing the Goldsmith Modification); </w:t>
      </w:r>
      <w:r w:rsidRPr="003233E0">
        <w:rPr>
          <w:i/>
        </w:rPr>
        <w:t xml:space="preserve">see also </w:t>
      </w:r>
      <w:r w:rsidRPr="003233E0">
        <w:rPr>
          <w:smallCaps/>
        </w:rPr>
        <w:t>Health Resources and Services Administration, Defining the Rural Population</w:t>
      </w:r>
      <w:r w:rsidRPr="003233E0">
        <w:t xml:space="preserve">, </w:t>
      </w:r>
      <w:r w:rsidRPr="00444B6D">
        <w:t>http://www.hrsa.gov/ruralhealth/policy/definition_of_rural.html</w:t>
      </w:r>
      <w:r w:rsidRPr="003233E0">
        <w:t xml:space="preserve">; </w:t>
      </w:r>
      <w:r w:rsidRPr="003233E0">
        <w:rPr>
          <w:smallCaps/>
        </w:rPr>
        <w:t>Rural Assistance Center, What Is the Goldsmith Modification?</w:t>
      </w:r>
      <w:r w:rsidRPr="003233E0">
        <w:t xml:space="preserve">, </w:t>
      </w:r>
      <w:r w:rsidRPr="00444B6D">
        <w:t>http://www.raconline.org/topics/what-is-rural/faqs#goldsmith</w:t>
      </w:r>
      <w:r w:rsidRPr="003233E0">
        <w:t>.</w:t>
      </w:r>
    </w:p>
  </w:footnote>
  <w:footnote w:id="11">
    <w:p w:rsidR="00FB6042" w:rsidRPr="003233E0" w:rsidRDefault="00FB6042" w:rsidP="00D968A3">
      <w:pPr>
        <w:pStyle w:val="FootnoteText"/>
      </w:pPr>
      <w:r w:rsidRPr="003233E0">
        <w:rPr>
          <w:rStyle w:val="FootnoteReference"/>
        </w:rPr>
        <w:footnoteRef/>
      </w:r>
      <w:r w:rsidRPr="003233E0">
        <w:t xml:space="preserve"> </w:t>
      </w:r>
      <w:r w:rsidRPr="003233E0">
        <w:rPr>
          <w:i/>
        </w:rPr>
        <w:t xml:space="preserve">See </w:t>
      </w:r>
      <w:r w:rsidR="003D119B">
        <w:rPr>
          <w:i/>
        </w:rPr>
        <w:t xml:space="preserve">2003 Order and Further Notice, </w:t>
      </w:r>
      <w:r w:rsidRPr="003233E0">
        <w:t xml:space="preserve">18 FCC Rcd </w:t>
      </w:r>
      <w:r w:rsidR="003D119B">
        <w:t>at</w:t>
      </w:r>
      <w:r w:rsidRPr="003233E0">
        <w:t xml:space="preserve"> 24578, para. 63.</w:t>
      </w:r>
    </w:p>
  </w:footnote>
  <w:footnote w:id="12">
    <w:p w:rsidR="00FB6042" w:rsidRPr="003233E0" w:rsidRDefault="00FB6042" w:rsidP="00283AD8">
      <w:pPr>
        <w:pStyle w:val="FootnoteText"/>
      </w:pPr>
      <w:r w:rsidRPr="003233E0">
        <w:rPr>
          <w:rStyle w:val="FootnoteReference"/>
        </w:rPr>
        <w:footnoteRef/>
      </w:r>
      <w:r w:rsidRPr="003233E0">
        <w:t xml:space="preserve"> </w:t>
      </w:r>
      <w:r w:rsidRPr="003233E0">
        <w:rPr>
          <w:i/>
        </w:rPr>
        <w:t>Rural Health Care Support Mechanism</w:t>
      </w:r>
      <w:r w:rsidRPr="003233E0">
        <w:t>, WC Docket No. 02-60, Second Report and Order, Order on Reconsideration, and Further Notice of Proposed Rulemaking, 19 FCC Rcd 24613, 24619-20, para</w:t>
      </w:r>
      <w:r w:rsidR="001D7A2E">
        <w:t>s</w:t>
      </w:r>
      <w:r w:rsidRPr="003233E0">
        <w:t xml:space="preserve">. </w:t>
      </w:r>
      <w:r w:rsidR="001D7A2E">
        <w:t>11-</w:t>
      </w:r>
      <w:r w:rsidRPr="003233E0">
        <w:t>12 (2004) (</w:t>
      </w:r>
      <w:r w:rsidRPr="003233E0">
        <w:rPr>
          <w:i/>
        </w:rPr>
        <w:t>2004 Rural Definition</w:t>
      </w:r>
      <w:r>
        <w:rPr>
          <w:i/>
        </w:rPr>
        <w:t xml:space="preserve"> </w:t>
      </w:r>
      <w:r w:rsidRPr="003233E0">
        <w:rPr>
          <w:i/>
        </w:rPr>
        <w:t>Order</w:t>
      </w:r>
      <w:r w:rsidRPr="003233E0">
        <w:t>).</w:t>
      </w:r>
      <w:r>
        <w:t xml:space="preserve">  </w:t>
      </w:r>
    </w:p>
  </w:footnote>
  <w:footnote w:id="13">
    <w:p w:rsidR="00FB6042" w:rsidRPr="00C95293" w:rsidRDefault="00FB6042">
      <w:pPr>
        <w:pStyle w:val="FootnoteText"/>
      </w:pPr>
      <w:r>
        <w:rPr>
          <w:rStyle w:val="FootnoteReference"/>
        </w:rPr>
        <w:footnoteRef/>
      </w:r>
      <w:r>
        <w:t xml:space="preserve"> </w:t>
      </w:r>
      <w:r w:rsidR="004A2C54">
        <w:rPr>
          <w:i/>
        </w:rPr>
        <w:t xml:space="preserve">See id. </w:t>
      </w:r>
      <w:r w:rsidR="004A2C54">
        <w:t xml:space="preserve">at </w:t>
      </w:r>
      <w:r>
        <w:t>24623-</w:t>
      </w:r>
      <w:r w:rsidR="00CD7A3E">
        <w:t>2</w:t>
      </w:r>
      <w:r w:rsidR="004A2C54">
        <w:t>4</w:t>
      </w:r>
      <w:r>
        <w:t>, para. 23.</w:t>
      </w:r>
    </w:p>
  </w:footnote>
  <w:footnote w:id="14">
    <w:p w:rsidR="00FB6042" w:rsidRPr="003233E0" w:rsidRDefault="00FB6042" w:rsidP="00542508">
      <w:pPr>
        <w:pStyle w:val="FootnoteText"/>
        <w:rPr>
          <w:i/>
        </w:rPr>
      </w:pPr>
      <w:r w:rsidRPr="003233E0">
        <w:rPr>
          <w:rStyle w:val="FootnoteReference"/>
        </w:rPr>
        <w:footnoteRef/>
      </w:r>
      <w:r w:rsidRPr="003233E0">
        <w:t xml:space="preserve"> 47 C.F.R. § 54.600(b)(1) (“A ‘rural area’ is an area that is entirely outside of a Core Based Statistical Area; is within a Core Based Statistical Area that does not have any Urban Area with a population of 25,000 or greater; or is in a Core Based Statistical Area that contains an Urban Area with a population of 25,000 or greater, but is within a specific census tract that itself does not contain any part of a Place or Urban Area with a population of greater than 25,000.  For purposes of this rule, ‘Core Based Statistical Area,’ ‘Urban Area,’ and ‘Place’ are as identified by the Census Bureau.”).  The Census Bureau relies on OMB for the identification of CBSAs and also adjusts census tracts and updates which areas are considered “Urban Areas” and “Places” after each decennial census.  Likewise, OMB updates which areas are considered CBSAs.  </w:t>
      </w:r>
      <w:r w:rsidRPr="003233E0">
        <w:rPr>
          <w:i/>
        </w:rPr>
        <w:t>See, e.g.</w:t>
      </w:r>
      <w:r w:rsidRPr="003233E0">
        <w:t>,</w:t>
      </w:r>
      <w:r w:rsidRPr="003233E0">
        <w:rPr>
          <w:i/>
        </w:rPr>
        <w:t xml:space="preserve"> </w:t>
      </w:r>
      <w:r w:rsidRPr="003233E0">
        <w:rPr>
          <w:smallCaps/>
        </w:rPr>
        <w:t>U.S. Census Bureau, 2010 Geographic Terms and Concepts – Core Based Statistical Areas and Related Statistical Areas</w:t>
      </w:r>
      <w:r w:rsidRPr="003233E0">
        <w:rPr>
          <w:i/>
        </w:rPr>
        <w:t xml:space="preserve">, </w:t>
      </w:r>
      <w:r w:rsidRPr="00444B6D">
        <w:t>http://www.census.gov/geo/reference/gtc/gtc_cbsa.html</w:t>
      </w:r>
      <w:r w:rsidRPr="00444B6D">
        <w:rPr>
          <w:u w:val="single"/>
        </w:rPr>
        <w:t xml:space="preserve"> </w:t>
      </w:r>
      <w:r w:rsidRPr="003233E0">
        <w:t xml:space="preserve">(“The U.S. Office of Management and Budget (OMB) defines CBSAs to provide a nationally consistent set of geographic entities for the United States and Puerto Rico for use in tabulating and presenting statistical data.”); OMB, </w:t>
      </w:r>
      <w:r w:rsidRPr="003233E0">
        <w:rPr>
          <w:smallCaps/>
        </w:rPr>
        <w:t>2010 Standards for Delineating Metropolitan and Micropolitan Statistical Areas</w:t>
      </w:r>
      <w:r w:rsidRPr="003233E0">
        <w:t xml:space="preserve">, </w:t>
      </w:r>
      <w:r w:rsidRPr="00444B6D">
        <w:t>http://www.whitehouse.gov/sites/default/files/omb/assets/fedreg_2010/06282010_metro_standards-Complete.pdf</w:t>
      </w:r>
      <w:r w:rsidRPr="003233E0">
        <w:t>.  CBSA, as used by OMB and the Census Bureau, is an umbrella term that encompasses both metropolitan and micropolitan statistical areas.</w:t>
      </w:r>
      <w:r w:rsidR="009253E2">
        <w:t xml:space="preserve"> </w:t>
      </w:r>
    </w:p>
  </w:footnote>
  <w:footnote w:id="15">
    <w:p w:rsidR="009253E2" w:rsidRDefault="009253E2" w:rsidP="004A2C54">
      <w:pPr>
        <w:pStyle w:val="FootnoteText"/>
      </w:pPr>
      <w:r>
        <w:rPr>
          <w:rStyle w:val="FootnoteReference"/>
        </w:rPr>
        <w:footnoteRef/>
      </w:r>
      <w:r>
        <w:t xml:space="preserve"> 47 C.F.R. 54.701.</w:t>
      </w:r>
    </w:p>
  </w:footnote>
  <w:footnote w:id="16">
    <w:p w:rsidR="004A2C54" w:rsidRDefault="004A2C54" w:rsidP="004A2C54">
      <w:pPr>
        <w:pStyle w:val="FootnoteText"/>
        <w:tabs>
          <w:tab w:val="left" w:pos="885"/>
        </w:tabs>
      </w:pPr>
      <w:r>
        <w:rPr>
          <w:rStyle w:val="FootnoteReference"/>
        </w:rPr>
        <w:footnoteRef/>
      </w:r>
      <w:r>
        <w:t xml:space="preserve"> </w:t>
      </w:r>
      <w:r>
        <w:rPr>
          <w:i/>
        </w:rPr>
        <w:t xml:space="preserve">See </w:t>
      </w:r>
      <w:r w:rsidRPr="003233E0">
        <w:rPr>
          <w:i/>
        </w:rPr>
        <w:t xml:space="preserve">2004 Rural </w:t>
      </w:r>
      <w:r w:rsidRPr="0084198C">
        <w:rPr>
          <w:i/>
        </w:rPr>
        <w:t>Definition</w:t>
      </w:r>
      <w:r>
        <w:rPr>
          <w:i/>
        </w:rPr>
        <w:t xml:space="preserve"> </w:t>
      </w:r>
      <w:r w:rsidRPr="003233E0">
        <w:rPr>
          <w:i/>
        </w:rPr>
        <w:t>Orde</w:t>
      </w:r>
      <w:r>
        <w:rPr>
          <w:i/>
        </w:rPr>
        <w:t>r</w:t>
      </w:r>
      <w:r>
        <w:t xml:space="preserve">, </w:t>
      </w:r>
      <w:r w:rsidRPr="003233E0">
        <w:t xml:space="preserve">19 FCC Rcd </w:t>
      </w:r>
      <w:r>
        <w:t xml:space="preserve">at </w:t>
      </w:r>
      <w:r w:rsidR="001D7A2E">
        <w:t>24619</w:t>
      </w:r>
      <w:r w:rsidRPr="003233E0">
        <w:t>, para. 1</w:t>
      </w:r>
      <w:r w:rsidR="001D7A2E">
        <w:t>3</w:t>
      </w:r>
      <w:r w:rsidR="00A254C3">
        <w:t>.</w:t>
      </w:r>
      <w:r w:rsidRPr="003233E0">
        <w:t xml:space="preserve"> </w:t>
      </w:r>
      <w:r>
        <w:t xml:space="preserve"> </w:t>
      </w:r>
      <w:r>
        <w:tab/>
      </w:r>
    </w:p>
  </w:footnote>
  <w:footnote w:id="17">
    <w:p w:rsidR="00FB6042" w:rsidRPr="00C51FCA" w:rsidRDefault="00FB6042" w:rsidP="002B0C32">
      <w:pPr>
        <w:pStyle w:val="FootnoteText"/>
      </w:pPr>
      <w:r w:rsidRPr="00C51FCA">
        <w:rPr>
          <w:rStyle w:val="FootnoteReference"/>
        </w:rPr>
        <w:footnoteRef/>
      </w:r>
      <w:r w:rsidRPr="00C51FCA">
        <w:rPr>
          <w:i/>
        </w:rPr>
        <w:t xml:space="preserve"> See</w:t>
      </w:r>
      <w:r w:rsidRPr="00C51FCA">
        <w:t xml:space="preserve"> 47 C.F.R. § 54.600(b)(1)</w:t>
      </w:r>
      <w:r>
        <w:t>; 47 U.S.C. 254(h)(7)(B)(i).</w:t>
      </w:r>
    </w:p>
  </w:footnote>
  <w:footnote w:id="18">
    <w:p w:rsidR="00FB6042" w:rsidRPr="003233E0" w:rsidRDefault="00FB6042" w:rsidP="002B0C32">
      <w:pPr>
        <w:pStyle w:val="FootnoteText"/>
      </w:pPr>
      <w:r w:rsidRPr="003233E0">
        <w:rPr>
          <w:rStyle w:val="FootnoteReference"/>
        </w:rPr>
        <w:footnoteRef/>
      </w:r>
      <w:r w:rsidRPr="003233E0">
        <w:t xml:space="preserve"> </w:t>
      </w:r>
      <w:r w:rsidRPr="003233E0">
        <w:rPr>
          <w:i/>
        </w:rPr>
        <w:t>See</w:t>
      </w:r>
      <w:r w:rsidRPr="003233E0">
        <w:t xml:space="preserve"> 47 U.S.C. § 254(h)(1)(A) (“A telecommunications carrier shall, upon receiving a bona fide request, provide telecommunications services which are necessary for the provision of health care services in a State, including instruction relating to such services, to any public or nonprofit health care provider that serves persons who reside in rural areas in that State </w:t>
      </w:r>
      <w:r>
        <w:t>. . . .</w:t>
      </w:r>
      <w:r w:rsidRPr="003233E0">
        <w:t>”).</w:t>
      </w:r>
    </w:p>
  </w:footnote>
  <w:footnote w:id="19">
    <w:p w:rsidR="00FB6042" w:rsidRPr="003233E0" w:rsidRDefault="00FB6042" w:rsidP="003D0291">
      <w:pPr>
        <w:pStyle w:val="FootnoteText"/>
      </w:pPr>
      <w:r w:rsidRPr="003233E0">
        <w:rPr>
          <w:rStyle w:val="FootnoteReference"/>
        </w:rPr>
        <w:footnoteRef/>
      </w:r>
      <w:r w:rsidRPr="003233E0">
        <w:t xml:space="preserve"> </w:t>
      </w:r>
      <w:r w:rsidRPr="003233E0">
        <w:rPr>
          <w:i/>
        </w:rPr>
        <w:t xml:space="preserve">See </w:t>
      </w:r>
      <w:r>
        <w:rPr>
          <w:i/>
        </w:rPr>
        <w:t>HCF</w:t>
      </w:r>
      <w:r w:rsidRPr="003344FB">
        <w:rPr>
          <w:i/>
        </w:rPr>
        <w:t xml:space="preserve"> Order</w:t>
      </w:r>
      <w:r>
        <w:t xml:space="preserve">, </w:t>
      </w:r>
      <w:r w:rsidRPr="003233E0">
        <w:t xml:space="preserve">27 FCC Rcd </w:t>
      </w:r>
      <w:r>
        <w:t>at</w:t>
      </w:r>
      <w:r w:rsidRPr="003233E0">
        <w:t xml:space="preserve"> 16707, para. 61 (“[N]on-rural HCPs may only apply for support as part of consortia that include rural HCPs; that is, they may not submit individual applications.”)</w:t>
      </w:r>
      <w:r w:rsidR="001D7A2E">
        <w:t>;</w:t>
      </w:r>
      <w:r w:rsidRPr="003233E0">
        <w:t xml:space="preserve"> </w:t>
      </w:r>
      <w:r w:rsidR="001D7A2E">
        <w:rPr>
          <w:i/>
        </w:rPr>
        <w:t>s</w:t>
      </w:r>
      <w:r w:rsidRPr="003233E0">
        <w:rPr>
          <w:i/>
        </w:rPr>
        <w:t xml:space="preserve">ee also </w:t>
      </w:r>
      <w:r w:rsidRPr="003233E0">
        <w:t xml:space="preserve">47 C.F.R. § 54.630(a)  (“Under the Healthcare Connect Fund, an eligible rural healthcare provider  may receive universal service support by applying individually </w:t>
      </w:r>
      <w:r>
        <w:t>. . . .</w:t>
      </w:r>
      <w:r w:rsidRPr="003233E0">
        <w:t>”)</w:t>
      </w:r>
      <w:r>
        <w:t>; 47 C.F.R. § 54.600(c) (</w:t>
      </w:r>
      <w:r>
        <w:rPr>
          <w:color w:val="252525"/>
        </w:rPr>
        <w:t>“</w:t>
      </w:r>
      <w:r w:rsidRPr="00923C04">
        <w:rPr>
          <w:color w:val="252525"/>
        </w:rPr>
        <w:t xml:space="preserve">A </w:t>
      </w:r>
      <w:r>
        <w:rPr>
          <w:color w:val="252525"/>
        </w:rPr>
        <w:t>‘</w:t>
      </w:r>
      <w:r w:rsidRPr="00923C04">
        <w:rPr>
          <w:color w:val="252525"/>
        </w:rPr>
        <w:t>rural health care provider</w:t>
      </w:r>
      <w:r>
        <w:rPr>
          <w:color w:val="252525"/>
        </w:rPr>
        <w:t>’</w:t>
      </w:r>
      <w:r w:rsidRPr="00923C04">
        <w:rPr>
          <w:color w:val="252525"/>
        </w:rPr>
        <w:t xml:space="preserve"> is an eligible health care provider site located in a rural area.</w:t>
      </w:r>
      <w:r>
        <w:rPr>
          <w:color w:val="252525"/>
        </w:rPr>
        <w:t>”).</w:t>
      </w:r>
      <w:r w:rsidR="0043754F">
        <w:rPr>
          <w:color w:val="252525"/>
        </w:rPr>
        <w:t xml:space="preserve">  </w:t>
      </w:r>
      <w:r w:rsidR="0043754F">
        <w:t xml:space="preserve"> </w:t>
      </w:r>
      <w:r w:rsidRPr="003233E0">
        <w:t xml:space="preserve"> </w:t>
      </w:r>
    </w:p>
  </w:footnote>
  <w:footnote w:id="20">
    <w:p w:rsidR="00FB6042" w:rsidRPr="003233E0" w:rsidRDefault="00FB6042">
      <w:pPr>
        <w:pStyle w:val="FootnoteText"/>
      </w:pPr>
      <w:r w:rsidRPr="003233E0">
        <w:rPr>
          <w:rStyle w:val="FootnoteReference"/>
        </w:rPr>
        <w:footnoteRef/>
      </w:r>
      <w:r w:rsidRPr="003233E0">
        <w:t xml:space="preserve"> </w:t>
      </w:r>
      <w:r w:rsidRPr="003233E0">
        <w:rPr>
          <w:i/>
        </w:rPr>
        <w:t>See</w:t>
      </w:r>
      <w:r w:rsidRPr="003233E0">
        <w:t xml:space="preserve"> 47 C.F.R. § 54.630(b).</w:t>
      </w:r>
    </w:p>
  </w:footnote>
  <w:footnote w:id="21">
    <w:p w:rsidR="00FB6042" w:rsidRPr="003233E0" w:rsidRDefault="00FB6042">
      <w:pPr>
        <w:pStyle w:val="FootnoteText"/>
      </w:pPr>
      <w:r w:rsidRPr="003233E0">
        <w:rPr>
          <w:rStyle w:val="FootnoteReference"/>
        </w:rPr>
        <w:footnoteRef/>
      </w:r>
      <w:r w:rsidRPr="003233E0">
        <w:t xml:space="preserve"> </w:t>
      </w:r>
      <w:r w:rsidRPr="003233E0">
        <w:rPr>
          <w:i/>
        </w:rPr>
        <w:t>See HCF Order</w:t>
      </w:r>
      <w:r w:rsidRPr="007E4BEF">
        <w:t>¸</w:t>
      </w:r>
      <w:r w:rsidRPr="003233E0">
        <w:t xml:space="preserve"> 27 FCC Rcd at 16707-08, para. 62</w:t>
      </w:r>
      <w:r>
        <w:t>,</w:t>
      </w:r>
      <w:r w:rsidRPr="003233E0">
        <w:t xml:space="preserve"> n.170.</w:t>
      </w:r>
    </w:p>
  </w:footnote>
  <w:footnote w:id="22">
    <w:p w:rsidR="00874B3A" w:rsidRPr="003233E0" w:rsidRDefault="00874B3A" w:rsidP="00874B3A">
      <w:pPr>
        <w:pStyle w:val="FootnoteText"/>
      </w:pPr>
      <w:r w:rsidRPr="003233E0">
        <w:rPr>
          <w:rStyle w:val="FootnoteReference"/>
        </w:rPr>
        <w:footnoteRef/>
      </w:r>
      <w:r w:rsidRPr="003233E0">
        <w:t xml:space="preserve"> </w:t>
      </w:r>
      <w:r w:rsidRPr="003233E0">
        <w:rPr>
          <w:i/>
        </w:rPr>
        <w:t>See Rural Health Care Support Mechanism</w:t>
      </w:r>
      <w:r w:rsidRPr="003233E0">
        <w:t>, WC Docket No. 02-60, Order, 21 FCC Rcd 11111, 11114, para. 10 (2006).</w:t>
      </w:r>
    </w:p>
  </w:footnote>
  <w:footnote w:id="23">
    <w:p w:rsidR="00FB6042" w:rsidRPr="003233E0" w:rsidRDefault="00FB6042" w:rsidP="0081508A">
      <w:pPr>
        <w:pStyle w:val="FootnoteText"/>
      </w:pPr>
      <w:r w:rsidRPr="003233E0">
        <w:rPr>
          <w:rStyle w:val="FootnoteReference"/>
        </w:rPr>
        <w:footnoteRef/>
      </w:r>
      <w:r w:rsidRPr="003233E0">
        <w:t xml:space="preserve"> </w:t>
      </w:r>
      <w:r w:rsidRPr="003233E0">
        <w:rPr>
          <w:i/>
        </w:rPr>
        <w:t xml:space="preserve">See </w:t>
      </w:r>
      <w:r w:rsidR="00CD7A3E">
        <w:rPr>
          <w:i/>
        </w:rPr>
        <w:t xml:space="preserve">id. </w:t>
      </w:r>
      <w:r w:rsidRPr="003233E0">
        <w:t>at 16695, 16815, paras. 32, 344 (adopting performance goals for both HCF and the RHC Telecommunications Program).</w:t>
      </w:r>
    </w:p>
  </w:footnote>
  <w:footnote w:id="24">
    <w:p w:rsidR="0057498E" w:rsidRDefault="0057498E">
      <w:pPr>
        <w:pStyle w:val="FootnoteText"/>
      </w:pPr>
      <w:r>
        <w:rPr>
          <w:rStyle w:val="FootnoteReference"/>
        </w:rPr>
        <w:footnoteRef/>
      </w:r>
      <w:r>
        <w:t xml:space="preserve"> </w:t>
      </w:r>
      <w:r w:rsidR="00D674A2">
        <w:t>Even if there is more than one update to the underlying data in a 12-month period, USAC will post an updated list no more than once per year.</w:t>
      </w:r>
      <w:r w:rsidR="00D674A2" w:rsidRPr="0057498E">
        <w:t xml:space="preserve"> </w:t>
      </w:r>
      <w:r w:rsidR="00D674A2">
        <w:t xml:space="preserve"> </w:t>
      </w:r>
      <w:r w:rsidRPr="0057498E">
        <w:t xml:space="preserve">We </w:t>
      </w:r>
      <w:r w:rsidR="00D674A2">
        <w:t xml:space="preserve">also </w:t>
      </w:r>
      <w:r>
        <w:t xml:space="preserve">direct </w:t>
      </w:r>
      <w:r w:rsidRPr="0057498E">
        <w:t xml:space="preserve">USAC </w:t>
      </w:r>
      <w:r w:rsidR="007E7F90">
        <w:t xml:space="preserve">to </w:t>
      </w:r>
      <w:r w:rsidRPr="0057498E">
        <w:t>inform any health care provider sites of their change in status caused by the update</w:t>
      </w:r>
      <w:r>
        <w:t>d</w:t>
      </w:r>
      <w:r w:rsidRPr="0057498E">
        <w:t xml:space="preserve"> Rural Areas List.</w:t>
      </w:r>
    </w:p>
  </w:footnote>
  <w:footnote w:id="25">
    <w:p w:rsidR="00FB6042" w:rsidRDefault="00FB6042">
      <w:pPr>
        <w:pStyle w:val="FootnoteText"/>
      </w:pPr>
      <w:r>
        <w:rPr>
          <w:rStyle w:val="FootnoteReference"/>
        </w:rPr>
        <w:footnoteRef/>
      </w:r>
      <w:r>
        <w:t xml:space="preserve"> </w:t>
      </w:r>
      <w:r w:rsidR="0021586A">
        <w:t xml:space="preserve">Preliminary </w:t>
      </w:r>
      <w:r w:rsidRPr="00B33FD9">
        <w:t xml:space="preserve">analysis indicates that less than three percent of the HCPs that recently participated in all the RHC programs would change from “rural” to “non-rural” following the </w:t>
      </w:r>
      <w:r w:rsidR="0021586A">
        <w:t xml:space="preserve">updating </w:t>
      </w:r>
      <w:r w:rsidRPr="00B33FD9">
        <w:t>of the Rural Areas List as directed by this Order.</w:t>
      </w:r>
      <w:r>
        <w:t xml:space="preserve">  Of the 15,305</w:t>
      </w:r>
      <w:r w:rsidRPr="003233E0">
        <w:t xml:space="preserve"> HCP sites </w:t>
      </w:r>
      <w:r>
        <w:t xml:space="preserve">that </w:t>
      </w:r>
      <w:r w:rsidRPr="003233E0">
        <w:t>fil</w:t>
      </w:r>
      <w:r>
        <w:t>ed</w:t>
      </w:r>
      <w:r w:rsidRPr="003233E0">
        <w:t xml:space="preserve"> a Form 460, 466, 466-A in funding years 2012-13, or participat</w:t>
      </w:r>
      <w:r>
        <w:t>ed</w:t>
      </w:r>
      <w:r w:rsidRPr="003233E0">
        <w:t xml:space="preserve"> in a Pilot project, </w:t>
      </w:r>
      <w:r>
        <w:t>approximately</w:t>
      </w:r>
      <w:r w:rsidRPr="003233E0">
        <w:t xml:space="preserve"> </w:t>
      </w:r>
      <w:r>
        <w:t>360</w:t>
      </w:r>
      <w:r w:rsidRPr="003233E0">
        <w:t xml:space="preserve"> would shift from “rural” to “non-rural” after updating USAC’s “rural areas” list with the most recent Census Bureau and OMB data</w:t>
      </w:r>
      <w:r w:rsidR="00A9675C">
        <w:t>.</w:t>
      </w:r>
      <w:r>
        <w:t xml:space="preserve">  </w:t>
      </w:r>
      <w:r w:rsidR="00D4792D">
        <w:rPr>
          <w:i/>
        </w:rPr>
        <w:t xml:space="preserve">See </w:t>
      </w:r>
      <w:r w:rsidR="00D4792D">
        <w:t>Craig Davis, Vice President, Rural Health Care Division, USAC, to Julie Veach, Chief, Wireline Competition Bureau, Federal Communications Commission, WC Docket No. 02-60 (filed July 9, 2014).</w:t>
      </w:r>
    </w:p>
  </w:footnote>
  <w:footnote w:id="26">
    <w:p w:rsidR="00FB6042" w:rsidRPr="003233E0" w:rsidRDefault="00FB6042" w:rsidP="00313619">
      <w:pPr>
        <w:pStyle w:val="FootnoteText"/>
      </w:pPr>
      <w:r w:rsidRPr="003233E0">
        <w:rPr>
          <w:rStyle w:val="FootnoteReference"/>
        </w:rPr>
        <w:footnoteRef/>
      </w:r>
      <w:r w:rsidRPr="003233E0">
        <w:t xml:space="preserve"> </w:t>
      </w:r>
      <w:r w:rsidRPr="003233E0">
        <w:rPr>
          <w:i/>
        </w:rPr>
        <w:t>See HCF Order</w:t>
      </w:r>
      <w:r w:rsidRPr="003233E0">
        <w:t xml:space="preserve">, 27 FCC Rcd at 16800-01, paras. 294-296. </w:t>
      </w:r>
      <w:r w:rsidR="00AC1F7B">
        <w:t xml:space="preserve"> </w:t>
      </w:r>
      <w:r w:rsidRPr="003233E0">
        <w:t xml:space="preserve">Applicants can request “evergreen” status for their contract, which means that participants do not have to rebid the service for the life of the contract.  The Commission currently allows evergreen contracts in the Telecommunications Program and HCF.  Telecommunications Program participants, however, are only guaranteed support for a year at a time and must re-submit a funding request each year, whereas HCF applicants may receive a multi-year funding commitment for a period of time that covers up to three years. </w:t>
      </w:r>
    </w:p>
  </w:footnote>
  <w:footnote w:id="27">
    <w:p w:rsidR="00FB6042" w:rsidRPr="003233E0" w:rsidRDefault="00FB6042">
      <w:pPr>
        <w:pStyle w:val="FootnoteText"/>
      </w:pPr>
      <w:r w:rsidRPr="003233E0">
        <w:rPr>
          <w:rStyle w:val="FootnoteReference"/>
        </w:rPr>
        <w:footnoteRef/>
      </w:r>
      <w:r w:rsidRPr="003233E0">
        <w:t xml:space="preserve"> Under HCF, a site whose status changes from “rural” to “non-rural” can still potentially receive RHC support if it is part of a consortium that is majority rural.  </w:t>
      </w:r>
      <w:r w:rsidRPr="003233E0">
        <w:rPr>
          <w:i/>
        </w:rPr>
        <w:t>HCF Order</w:t>
      </w:r>
      <w:r w:rsidRPr="003233E0">
        <w:t xml:space="preserve">, 27 FCC Rcd at 16705-7, paras. 59, 61; </w:t>
      </w:r>
      <w:r w:rsidR="00AC1F7B">
        <w:rPr>
          <w:i/>
        </w:rPr>
        <w:t>s</w:t>
      </w:r>
      <w:r w:rsidRPr="003233E0">
        <w:rPr>
          <w:i/>
        </w:rPr>
        <w:t xml:space="preserve">ee also </w:t>
      </w:r>
      <w:r w:rsidRPr="003233E0">
        <w:t>47 C.F.R. § 54.630(b) (“An eligible non-rural health care provider may receive universal service support only as part of a consortium that includes more than 50 percent eligible rural health care provider sites.”)</w:t>
      </w:r>
      <w:r w:rsidR="006576A7">
        <w:t>.</w:t>
      </w:r>
    </w:p>
  </w:footnote>
  <w:footnote w:id="28">
    <w:p w:rsidR="00FB6042" w:rsidRPr="003233E0" w:rsidRDefault="00FB6042">
      <w:pPr>
        <w:pStyle w:val="FootnoteText"/>
      </w:pPr>
      <w:r w:rsidRPr="003233E0">
        <w:rPr>
          <w:rStyle w:val="FootnoteReference"/>
        </w:rPr>
        <w:footnoteRef/>
      </w:r>
      <w:r w:rsidRPr="003233E0">
        <w:t xml:space="preserve"> </w:t>
      </w:r>
      <w:r w:rsidRPr="003233E0">
        <w:rPr>
          <w:i/>
        </w:rPr>
        <w:t>HCF Order</w:t>
      </w:r>
      <w:r w:rsidRPr="003233E0">
        <w:t>, 27 FCC Rcd at 16707, para. 61.</w:t>
      </w:r>
    </w:p>
  </w:footnote>
  <w:footnote w:id="29">
    <w:p w:rsidR="00FB6042" w:rsidRDefault="00FB6042">
      <w:pPr>
        <w:pStyle w:val="FootnoteText"/>
      </w:pPr>
      <w:r>
        <w:rPr>
          <w:rStyle w:val="FootnoteReference"/>
        </w:rPr>
        <w:footnoteRef/>
      </w:r>
      <w:r>
        <w:t xml:space="preserve"> For the purposes of this Order, an applicant has sought a commitment if it has filed with USAC FCC Forms 462 or 466 to request funding. </w:t>
      </w:r>
    </w:p>
  </w:footnote>
  <w:footnote w:id="30">
    <w:p w:rsidR="00FB6042" w:rsidRPr="00F134B2" w:rsidRDefault="00FB6042">
      <w:pPr>
        <w:pStyle w:val="FootnoteText"/>
      </w:pPr>
      <w:r w:rsidRPr="003233E0">
        <w:rPr>
          <w:rStyle w:val="FootnoteReference"/>
        </w:rPr>
        <w:footnoteRef/>
      </w:r>
      <w:r w:rsidRPr="003233E0">
        <w:t xml:space="preserve"> </w:t>
      </w:r>
      <w:r w:rsidRPr="003233E0">
        <w:rPr>
          <w:i/>
        </w:rPr>
        <w:t>See HCF Order</w:t>
      </w:r>
      <w:r w:rsidRPr="003233E0">
        <w:t>, 27 FCC Rcd at 16707-08, para. 62 (detailing the conditions for “grandfathering” non-rural Pilot project HCP sites).</w:t>
      </w:r>
      <w:r>
        <w:t xml:space="preserve">  HCP sites that were located in “rural areas” under the pre-July 2005 definition and “grandfathered” under the </w:t>
      </w:r>
      <w:r>
        <w:rPr>
          <w:i/>
        </w:rPr>
        <w:t>HCF Order</w:t>
      </w:r>
      <w:r>
        <w:t xml:space="preserve"> may also continue to receive support, as long as they meet the terms outlined in the </w:t>
      </w:r>
      <w:r w:rsidRPr="002C5C15">
        <w:rPr>
          <w:i/>
        </w:rPr>
        <w:t>HCF Order</w:t>
      </w:r>
      <w:r>
        <w:t xml:space="preserve">.  </w:t>
      </w:r>
      <w:r w:rsidR="001D7A2E">
        <w:rPr>
          <w:i/>
        </w:rPr>
        <w:t>See i</w:t>
      </w:r>
      <w:r w:rsidRPr="001D7A2E">
        <w:rPr>
          <w:i/>
        </w:rPr>
        <w:t>d</w:t>
      </w:r>
      <w:r>
        <w:rPr>
          <w:i/>
        </w:rPr>
        <w:t xml:space="preserve">. </w:t>
      </w:r>
      <w:r>
        <w:t xml:space="preserve">at </w:t>
      </w:r>
      <w:r w:rsidR="001D7A2E">
        <w:t xml:space="preserve">16710, </w:t>
      </w:r>
      <w:r>
        <w:t>para.</w:t>
      </w:r>
      <w:r w:rsidR="00AA4F98">
        <w:t xml:space="preserve"> </w:t>
      </w:r>
      <w:r>
        <w:t>68.</w:t>
      </w:r>
    </w:p>
  </w:footnote>
  <w:footnote w:id="31">
    <w:p w:rsidR="00E50F56" w:rsidRPr="003233E0" w:rsidRDefault="00FB6042" w:rsidP="002C5C15">
      <w:pPr>
        <w:pStyle w:val="FootnoteText"/>
        <w:tabs>
          <w:tab w:val="left" w:pos="0"/>
        </w:tabs>
      </w:pPr>
      <w:r w:rsidRPr="003233E0">
        <w:rPr>
          <w:rStyle w:val="FootnoteReference"/>
        </w:rPr>
        <w:footnoteRef/>
      </w:r>
      <w:r w:rsidRPr="003233E0">
        <w:t xml:space="preserve"> </w:t>
      </w:r>
      <w:r w:rsidR="009A07E3">
        <w:rPr>
          <w:i/>
        </w:rPr>
        <w:t>See i</w:t>
      </w:r>
      <w:r w:rsidRPr="003233E0">
        <w:rPr>
          <w:i/>
        </w:rPr>
        <w:t>d.</w:t>
      </w:r>
      <w:r w:rsidRPr="003233E0">
        <w:t xml:space="preserve"> at 16801-03, paras. 296-99.</w:t>
      </w:r>
      <w:r w:rsidR="0043354B">
        <w:t xml:space="preserve">  </w:t>
      </w:r>
      <w:r w:rsidR="00283CC5">
        <w:t xml:space="preserve"> </w:t>
      </w:r>
      <w:r w:rsidR="00E50F56">
        <w:t>Within the universal service programs, t</w:t>
      </w:r>
      <w:r w:rsidR="0043354B">
        <w:t>he HCF is unique in allowing applicants to receive</w:t>
      </w:r>
      <w:r w:rsidR="00E50F56">
        <w:t xml:space="preserve"> multi-year funding commitments</w:t>
      </w:r>
      <w:r w:rsidR="002E04EF">
        <w:t xml:space="preserve">.  </w:t>
      </w:r>
      <w:r w:rsidR="00E50F56">
        <w:t xml:space="preserve"> </w:t>
      </w:r>
    </w:p>
  </w:footnote>
  <w:footnote w:id="32">
    <w:p w:rsidR="00FB6042" w:rsidRPr="003233E0" w:rsidRDefault="00FB6042">
      <w:pPr>
        <w:pStyle w:val="FootnoteText"/>
      </w:pPr>
      <w:r w:rsidRPr="003233E0">
        <w:rPr>
          <w:rStyle w:val="FootnoteReference"/>
        </w:rPr>
        <w:footnoteRef/>
      </w:r>
      <w:r w:rsidRPr="003233E0">
        <w:t xml:space="preserve"> </w:t>
      </w:r>
      <w:r w:rsidR="009A07E3">
        <w:rPr>
          <w:i/>
        </w:rPr>
        <w:t>See i</w:t>
      </w:r>
      <w:r w:rsidRPr="003233E0">
        <w:rPr>
          <w:i/>
        </w:rPr>
        <w:t>d.</w:t>
      </w:r>
    </w:p>
  </w:footnote>
  <w:footnote w:id="33">
    <w:p w:rsidR="00FB6042" w:rsidRDefault="00FB6042" w:rsidP="00541B6C">
      <w:pPr>
        <w:pStyle w:val="FootnoteText"/>
      </w:pPr>
      <w:r w:rsidRPr="003233E0">
        <w:rPr>
          <w:rStyle w:val="FootnoteReference"/>
        </w:rPr>
        <w:footnoteRef/>
      </w:r>
      <w:r w:rsidRPr="003233E0">
        <w:t xml:space="preserve"> </w:t>
      </w:r>
      <w:r w:rsidRPr="003233E0">
        <w:rPr>
          <w:i/>
        </w:rPr>
        <w:t>See supra</w:t>
      </w:r>
      <w:r w:rsidR="00DC0EE3">
        <w:t xml:space="preserve"> para. 7</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DD" w:rsidRDefault="00FD4B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42" w:rsidRDefault="00FB6042" w:rsidP="00B549D4">
    <w:pPr>
      <w:pStyle w:val="Header"/>
    </w:pPr>
    <w:r>
      <w:tab/>
      <w:t>Federal Communications Commission</w:t>
    </w:r>
    <w:r>
      <w:tab/>
      <w:t xml:space="preserve"> DA 14-</w:t>
    </w:r>
    <w:r w:rsidR="00444B6D">
      <w:t>1042</w:t>
    </w:r>
  </w:p>
  <w:p w:rsidR="00FB6042" w:rsidRDefault="00FB6042" w:rsidP="00B549D4">
    <w:pPr>
      <w:pStyle w:val="Header"/>
      <w:rPr>
        <w:i/>
      </w:rPr>
    </w:pPr>
    <w:r>
      <w:rPr>
        <w:noProof/>
        <w:snapToGrid/>
      </w:rPr>
      <mc:AlternateContent>
        <mc:Choice Requires="wps">
          <w:drawing>
            <wp:anchor distT="4294967293" distB="4294967293" distL="114300" distR="114300" simplePos="0" relativeHeight="251658752" behindDoc="0" locked="0" layoutInCell="0" allowOverlap="1" wp14:anchorId="1BAF4A27" wp14:editId="2EBC8027">
              <wp:simplePos x="0" y="0"/>
              <wp:positionH relativeFrom="column">
                <wp:posOffset>0</wp:posOffset>
              </wp:positionH>
              <wp:positionV relativeFrom="paragraph">
                <wp:posOffset>22224</wp:posOffset>
              </wp:positionV>
              <wp:extent cx="59436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dE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KBtx0QSAgAA&#10;KQQAAA4AAAAAAAAAAAAAAAAALgIAAGRycy9lMm9Eb2MueG1sUEsBAi0AFAAGAAgAAAAhAO4pKK7Y&#10;AAAABAEAAA8AAAAAAAAAAAAAAAAAbAQAAGRycy9kb3ducmV2LnhtbFBLBQYAAAAABAAEAPMAAABx&#10;BQAAAAA=&#10;" o:allowincell="f" strokeweight="1.5pt"/>
          </w:pict>
        </mc:Fallback>
      </mc:AlternateContent>
    </w:r>
    <w:r>
      <w:rPr>
        <w:noProof/>
        <w:snapToGrid/>
      </w:rPr>
      <mc:AlternateContent>
        <mc:Choice Requires="wps">
          <w:drawing>
            <wp:anchor distT="4294967293" distB="4294967293" distL="114300" distR="114300" simplePos="0" relativeHeight="251657728" behindDoc="0" locked="0" layoutInCell="0" allowOverlap="1" wp14:anchorId="108D24AC" wp14:editId="11C49F6C">
              <wp:simplePos x="0" y="0"/>
              <wp:positionH relativeFrom="column">
                <wp:posOffset>0</wp:posOffset>
              </wp:positionH>
              <wp:positionV relativeFrom="paragraph">
                <wp:posOffset>22224</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FB6042" w:rsidRDefault="00FB6042" w:rsidP="00B549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42" w:rsidRPr="00B549D4" w:rsidRDefault="00FB6042" w:rsidP="00B549D4">
    <w:pPr>
      <w:pStyle w:val="Header"/>
    </w:pPr>
    <w:r w:rsidRPr="00B549D4">
      <w:tab/>
      <w:t>Federal Communications Commission</w:t>
    </w:r>
    <w:r w:rsidRPr="00B549D4">
      <w:tab/>
      <w:t xml:space="preserve"> DA 14-</w:t>
    </w:r>
    <w:r w:rsidR="00444B6D">
      <w:t>1042</w:t>
    </w:r>
    <w:r w:rsidRPr="00B549D4">
      <w:t xml:space="preserve"> </w:t>
    </w:r>
  </w:p>
  <w:p w:rsidR="00FB6042" w:rsidRDefault="00FB6042" w:rsidP="00B549D4">
    <w:pPr>
      <w:pStyle w:val="Header"/>
    </w:pPr>
    <w:r>
      <w:rPr>
        <w:noProof/>
        <w:snapToGrid/>
      </w:rPr>
      <mc:AlternateContent>
        <mc:Choice Requires="wps">
          <w:drawing>
            <wp:anchor distT="4294967293" distB="4294967293" distL="114300" distR="114300" simplePos="0" relativeHeight="251656704"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0C82164F"/>
    <w:multiLevelType w:val="hybridMultilevel"/>
    <w:tmpl w:val="E0327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3A37F3A"/>
    <w:multiLevelType w:val="hybridMultilevel"/>
    <w:tmpl w:val="61323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1CFE6C79"/>
    <w:multiLevelType w:val="hybridMultilevel"/>
    <w:tmpl w:val="45B8F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2">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5">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6">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7">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9">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3">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4">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5">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6">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7">
    <w:nsid w:val="61182925"/>
    <w:multiLevelType w:val="singleLevel"/>
    <w:tmpl w:val="A9EE9842"/>
    <w:lvl w:ilvl="0">
      <w:start w:val="1"/>
      <w:numFmt w:val="decimal"/>
      <w:pStyle w:val="ParaNum"/>
      <w:lvlText w:val="%1."/>
      <w:lvlJc w:val="left"/>
      <w:pPr>
        <w:tabs>
          <w:tab w:val="num" w:pos="5580"/>
        </w:tabs>
        <w:ind w:left="4500" w:firstLine="720"/>
      </w:pPr>
    </w:lvl>
  </w:abstractNum>
  <w:abstractNum w:abstractNumId="28">
    <w:nsid w:val="61FB2611"/>
    <w:multiLevelType w:val="hybridMultilevel"/>
    <w:tmpl w:val="925C73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3CA0722"/>
    <w:multiLevelType w:val="hybridMultilevel"/>
    <w:tmpl w:val="A4F83D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3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30"/>
  </w:num>
  <w:num w:numId="2">
    <w:abstractNumId w:val="31"/>
  </w:num>
  <w:num w:numId="3">
    <w:abstractNumId w:val="7"/>
  </w:num>
  <w:num w:numId="4">
    <w:abstractNumId w:val="23"/>
  </w:num>
  <w:num w:numId="5">
    <w:abstractNumId w:val="11"/>
  </w:num>
  <w:num w:numId="6">
    <w:abstractNumId w:val="26"/>
  </w:num>
  <w:num w:numId="7">
    <w:abstractNumId w:val="19"/>
  </w:num>
  <w:num w:numId="8">
    <w:abstractNumId w:val="12"/>
  </w:num>
  <w:num w:numId="9">
    <w:abstractNumId w:val="25"/>
  </w:num>
  <w:num w:numId="10">
    <w:abstractNumId w:val="17"/>
  </w:num>
  <w:num w:numId="11">
    <w:abstractNumId w:val="16"/>
  </w:num>
  <w:num w:numId="12">
    <w:abstractNumId w:val="13"/>
  </w:num>
  <w:num w:numId="13">
    <w:abstractNumId w:val="18"/>
  </w:num>
  <w:num w:numId="14">
    <w:abstractNumId w:val="24"/>
  </w:num>
  <w:num w:numId="15">
    <w:abstractNumId w:val="4"/>
  </w:num>
  <w:num w:numId="16">
    <w:abstractNumId w:val="5"/>
  </w:num>
  <w:num w:numId="17">
    <w:abstractNumId w:val="14"/>
  </w:num>
  <w:num w:numId="18">
    <w:abstractNumId w:val="1"/>
  </w:num>
  <w:num w:numId="19">
    <w:abstractNumId w:val="15"/>
  </w:num>
  <w:num w:numId="20">
    <w:abstractNumId w:val="20"/>
  </w:num>
  <w:num w:numId="21">
    <w:abstractNumId w:val="22"/>
  </w:num>
  <w:num w:numId="22">
    <w:abstractNumId w:val="29"/>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8"/>
  </w:num>
  <w:num w:numId="30">
    <w:abstractNumId w:val="27"/>
  </w:num>
  <w:num w:numId="31">
    <w:abstractNumId w:val="10"/>
  </w:num>
  <w:num w:numId="32">
    <w:abstractNumId w:val="21"/>
  </w:num>
  <w:num w:numId="33">
    <w:abstractNumId w:val="9"/>
  </w:num>
  <w:num w:numId="34">
    <w:abstractNumId w:val="0"/>
  </w:num>
  <w:num w:numId="35">
    <w:abstractNumId w:val="2"/>
  </w:num>
  <w:num w:numId="36">
    <w:abstractNumId w:val="6"/>
  </w:num>
  <w:num w:numId="37">
    <w:abstractNumId w:val="3"/>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removePersonalInformation/>
  <w:removeDateAndTime/>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33B"/>
    <w:rsid w:val="00014EFD"/>
    <w:rsid w:val="00020494"/>
    <w:rsid w:val="000279E6"/>
    <w:rsid w:val="00027C93"/>
    <w:rsid w:val="000300DC"/>
    <w:rsid w:val="00033EC8"/>
    <w:rsid w:val="000438B4"/>
    <w:rsid w:val="000517A1"/>
    <w:rsid w:val="00052D3E"/>
    <w:rsid w:val="000606C8"/>
    <w:rsid w:val="000655C2"/>
    <w:rsid w:val="00065653"/>
    <w:rsid w:val="0006626D"/>
    <w:rsid w:val="000740A0"/>
    <w:rsid w:val="00086483"/>
    <w:rsid w:val="0008758D"/>
    <w:rsid w:val="000947CA"/>
    <w:rsid w:val="0009664B"/>
    <w:rsid w:val="000A30AD"/>
    <w:rsid w:val="000A76CF"/>
    <w:rsid w:val="000C2801"/>
    <w:rsid w:val="000C3C50"/>
    <w:rsid w:val="000C4B54"/>
    <w:rsid w:val="000C4C4B"/>
    <w:rsid w:val="000C6827"/>
    <w:rsid w:val="000D2BDE"/>
    <w:rsid w:val="000D3C72"/>
    <w:rsid w:val="000F2914"/>
    <w:rsid w:val="000F390E"/>
    <w:rsid w:val="000F3A4A"/>
    <w:rsid w:val="000F41D9"/>
    <w:rsid w:val="000F7832"/>
    <w:rsid w:val="00111585"/>
    <w:rsid w:val="00114A1E"/>
    <w:rsid w:val="00115315"/>
    <w:rsid w:val="00120FAD"/>
    <w:rsid w:val="0013042D"/>
    <w:rsid w:val="001340B8"/>
    <w:rsid w:val="00145CD1"/>
    <w:rsid w:val="00152CB8"/>
    <w:rsid w:val="00157808"/>
    <w:rsid w:val="00164B0C"/>
    <w:rsid w:val="00164DFC"/>
    <w:rsid w:val="00175038"/>
    <w:rsid w:val="0018039F"/>
    <w:rsid w:val="00185818"/>
    <w:rsid w:val="00191A4C"/>
    <w:rsid w:val="00191F81"/>
    <w:rsid w:val="001A1F36"/>
    <w:rsid w:val="001A5F96"/>
    <w:rsid w:val="001C6F43"/>
    <w:rsid w:val="001D7A2E"/>
    <w:rsid w:val="001D7B9E"/>
    <w:rsid w:val="001E1DEB"/>
    <w:rsid w:val="001E2626"/>
    <w:rsid w:val="002035A8"/>
    <w:rsid w:val="0021586A"/>
    <w:rsid w:val="002218A9"/>
    <w:rsid w:val="00221BF3"/>
    <w:rsid w:val="0022203E"/>
    <w:rsid w:val="00223E2C"/>
    <w:rsid w:val="002273CB"/>
    <w:rsid w:val="00233995"/>
    <w:rsid w:val="00240909"/>
    <w:rsid w:val="0024557E"/>
    <w:rsid w:val="00262350"/>
    <w:rsid w:val="002656A1"/>
    <w:rsid w:val="002679DB"/>
    <w:rsid w:val="002837EE"/>
    <w:rsid w:val="00283AD8"/>
    <w:rsid w:val="00283CC5"/>
    <w:rsid w:val="0029369B"/>
    <w:rsid w:val="00295C7D"/>
    <w:rsid w:val="00295FBE"/>
    <w:rsid w:val="00296B69"/>
    <w:rsid w:val="002A0231"/>
    <w:rsid w:val="002B0C32"/>
    <w:rsid w:val="002B7BAA"/>
    <w:rsid w:val="002B7DE0"/>
    <w:rsid w:val="002C5C15"/>
    <w:rsid w:val="002D4CF9"/>
    <w:rsid w:val="002D654C"/>
    <w:rsid w:val="002D6FFB"/>
    <w:rsid w:val="002E04EF"/>
    <w:rsid w:val="002E2D13"/>
    <w:rsid w:val="002E3509"/>
    <w:rsid w:val="002E4F18"/>
    <w:rsid w:val="002F3CA0"/>
    <w:rsid w:val="002F4BC6"/>
    <w:rsid w:val="0030083E"/>
    <w:rsid w:val="0030424A"/>
    <w:rsid w:val="00305727"/>
    <w:rsid w:val="00312278"/>
    <w:rsid w:val="00312E3A"/>
    <w:rsid w:val="00312FC1"/>
    <w:rsid w:val="00313619"/>
    <w:rsid w:val="00313C91"/>
    <w:rsid w:val="003233E0"/>
    <w:rsid w:val="003344FB"/>
    <w:rsid w:val="0034604C"/>
    <w:rsid w:val="0035193E"/>
    <w:rsid w:val="0035307E"/>
    <w:rsid w:val="00364E7C"/>
    <w:rsid w:val="00366676"/>
    <w:rsid w:val="00366E9C"/>
    <w:rsid w:val="0036786E"/>
    <w:rsid w:val="003764FE"/>
    <w:rsid w:val="003870DA"/>
    <w:rsid w:val="00390E61"/>
    <w:rsid w:val="00392B6B"/>
    <w:rsid w:val="0039692E"/>
    <w:rsid w:val="003A1B89"/>
    <w:rsid w:val="003A752D"/>
    <w:rsid w:val="003B1C44"/>
    <w:rsid w:val="003B28A4"/>
    <w:rsid w:val="003B3799"/>
    <w:rsid w:val="003D0291"/>
    <w:rsid w:val="003D119B"/>
    <w:rsid w:val="003D234A"/>
    <w:rsid w:val="003D58E1"/>
    <w:rsid w:val="003D7A1E"/>
    <w:rsid w:val="003E17E4"/>
    <w:rsid w:val="003E28BE"/>
    <w:rsid w:val="003E352B"/>
    <w:rsid w:val="003F279C"/>
    <w:rsid w:val="003F4DEC"/>
    <w:rsid w:val="004309C2"/>
    <w:rsid w:val="0043354B"/>
    <w:rsid w:val="00437296"/>
    <w:rsid w:val="0043754F"/>
    <w:rsid w:val="004448C3"/>
    <w:rsid w:val="00444B6D"/>
    <w:rsid w:val="00446CE7"/>
    <w:rsid w:val="00447CE9"/>
    <w:rsid w:val="00452A59"/>
    <w:rsid w:val="0045313C"/>
    <w:rsid w:val="00453F29"/>
    <w:rsid w:val="00457860"/>
    <w:rsid w:val="00473520"/>
    <w:rsid w:val="00474619"/>
    <w:rsid w:val="004825DB"/>
    <w:rsid w:val="004923A3"/>
    <w:rsid w:val="004A1710"/>
    <w:rsid w:val="004A2C54"/>
    <w:rsid w:val="004B548B"/>
    <w:rsid w:val="004C00D1"/>
    <w:rsid w:val="004C775F"/>
    <w:rsid w:val="004D6F73"/>
    <w:rsid w:val="004D76F3"/>
    <w:rsid w:val="004E27BA"/>
    <w:rsid w:val="004E2D1F"/>
    <w:rsid w:val="004E6A89"/>
    <w:rsid w:val="004F2AEA"/>
    <w:rsid w:val="004F489B"/>
    <w:rsid w:val="004F78D1"/>
    <w:rsid w:val="00500ED5"/>
    <w:rsid w:val="00505B06"/>
    <w:rsid w:val="00520499"/>
    <w:rsid w:val="0052735F"/>
    <w:rsid w:val="00536351"/>
    <w:rsid w:val="00541B6C"/>
    <w:rsid w:val="00542508"/>
    <w:rsid w:val="005606F9"/>
    <w:rsid w:val="00564C47"/>
    <w:rsid w:val="005703F5"/>
    <w:rsid w:val="00573C33"/>
    <w:rsid w:val="0057498E"/>
    <w:rsid w:val="005764E1"/>
    <w:rsid w:val="00590049"/>
    <w:rsid w:val="005940CC"/>
    <w:rsid w:val="00595AD7"/>
    <w:rsid w:val="00596B11"/>
    <w:rsid w:val="0059798B"/>
    <w:rsid w:val="005A25A1"/>
    <w:rsid w:val="005A5B89"/>
    <w:rsid w:val="005B2AD8"/>
    <w:rsid w:val="005B515C"/>
    <w:rsid w:val="005B54C9"/>
    <w:rsid w:val="005C47A5"/>
    <w:rsid w:val="005C53B8"/>
    <w:rsid w:val="005C776D"/>
    <w:rsid w:val="005D68BE"/>
    <w:rsid w:val="005E14F4"/>
    <w:rsid w:val="005E1BD4"/>
    <w:rsid w:val="005F314D"/>
    <w:rsid w:val="005F7A72"/>
    <w:rsid w:val="005F7DFB"/>
    <w:rsid w:val="0060769D"/>
    <w:rsid w:val="00610075"/>
    <w:rsid w:val="00620C8B"/>
    <w:rsid w:val="00624611"/>
    <w:rsid w:val="00632927"/>
    <w:rsid w:val="00633CB3"/>
    <w:rsid w:val="00635385"/>
    <w:rsid w:val="00635A24"/>
    <w:rsid w:val="00636D7B"/>
    <w:rsid w:val="00640204"/>
    <w:rsid w:val="00656658"/>
    <w:rsid w:val="006576A7"/>
    <w:rsid w:val="006721E2"/>
    <w:rsid w:val="0068268C"/>
    <w:rsid w:val="00696FC9"/>
    <w:rsid w:val="006A1618"/>
    <w:rsid w:val="006B17C5"/>
    <w:rsid w:val="006B717F"/>
    <w:rsid w:val="006C035B"/>
    <w:rsid w:val="006C73E4"/>
    <w:rsid w:val="006C7B83"/>
    <w:rsid w:val="006D066E"/>
    <w:rsid w:val="006D2CE6"/>
    <w:rsid w:val="006D7194"/>
    <w:rsid w:val="006E21C3"/>
    <w:rsid w:val="006F0C39"/>
    <w:rsid w:val="007010FD"/>
    <w:rsid w:val="00701B64"/>
    <w:rsid w:val="0070495C"/>
    <w:rsid w:val="007055C2"/>
    <w:rsid w:val="00711E75"/>
    <w:rsid w:val="007204BA"/>
    <w:rsid w:val="007370DC"/>
    <w:rsid w:val="00745942"/>
    <w:rsid w:val="007640B6"/>
    <w:rsid w:val="0076533F"/>
    <w:rsid w:val="00766024"/>
    <w:rsid w:val="00770868"/>
    <w:rsid w:val="00786397"/>
    <w:rsid w:val="0079070B"/>
    <w:rsid w:val="00792A72"/>
    <w:rsid w:val="00794C04"/>
    <w:rsid w:val="00796DC1"/>
    <w:rsid w:val="007A0D65"/>
    <w:rsid w:val="007B1AA3"/>
    <w:rsid w:val="007B5ED9"/>
    <w:rsid w:val="007C2E4A"/>
    <w:rsid w:val="007C7105"/>
    <w:rsid w:val="007D60DA"/>
    <w:rsid w:val="007E1C2C"/>
    <w:rsid w:val="007E36CF"/>
    <w:rsid w:val="007E4BEF"/>
    <w:rsid w:val="007E7F90"/>
    <w:rsid w:val="007F2106"/>
    <w:rsid w:val="00802A8F"/>
    <w:rsid w:val="008030AD"/>
    <w:rsid w:val="008059A2"/>
    <w:rsid w:val="00811218"/>
    <w:rsid w:val="0081508A"/>
    <w:rsid w:val="00822FF4"/>
    <w:rsid w:val="008250EE"/>
    <w:rsid w:val="00831988"/>
    <w:rsid w:val="00840894"/>
    <w:rsid w:val="0084198C"/>
    <w:rsid w:val="00842313"/>
    <w:rsid w:val="0084690E"/>
    <w:rsid w:val="00851885"/>
    <w:rsid w:val="00854EE7"/>
    <w:rsid w:val="00856BE2"/>
    <w:rsid w:val="00857239"/>
    <w:rsid w:val="008636E4"/>
    <w:rsid w:val="00865376"/>
    <w:rsid w:val="00874B3A"/>
    <w:rsid w:val="0088298E"/>
    <w:rsid w:val="00883F88"/>
    <w:rsid w:val="0088718E"/>
    <w:rsid w:val="00890F50"/>
    <w:rsid w:val="008A138D"/>
    <w:rsid w:val="008A2821"/>
    <w:rsid w:val="008A318C"/>
    <w:rsid w:val="008A7469"/>
    <w:rsid w:val="008A7DF4"/>
    <w:rsid w:val="008B6590"/>
    <w:rsid w:val="008C0CF3"/>
    <w:rsid w:val="008F4EC6"/>
    <w:rsid w:val="008F55C5"/>
    <w:rsid w:val="00900FE2"/>
    <w:rsid w:val="0090216E"/>
    <w:rsid w:val="009029C8"/>
    <w:rsid w:val="00914DF7"/>
    <w:rsid w:val="00920081"/>
    <w:rsid w:val="00923344"/>
    <w:rsid w:val="009248F7"/>
    <w:rsid w:val="00924C54"/>
    <w:rsid w:val="009253E2"/>
    <w:rsid w:val="00925D09"/>
    <w:rsid w:val="00934F69"/>
    <w:rsid w:val="009361AF"/>
    <w:rsid w:val="00936385"/>
    <w:rsid w:val="00943D9C"/>
    <w:rsid w:val="00943F37"/>
    <w:rsid w:val="00946B43"/>
    <w:rsid w:val="00963383"/>
    <w:rsid w:val="009637CA"/>
    <w:rsid w:val="00967674"/>
    <w:rsid w:val="009725ED"/>
    <w:rsid w:val="009731E4"/>
    <w:rsid w:val="0097513A"/>
    <w:rsid w:val="00980585"/>
    <w:rsid w:val="009851B8"/>
    <w:rsid w:val="009932C6"/>
    <w:rsid w:val="009A07E3"/>
    <w:rsid w:val="009B2092"/>
    <w:rsid w:val="009B20D1"/>
    <w:rsid w:val="009B3412"/>
    <w:rsid w:val="009B52A3"/>
    <w:rsid w:val="009B5BCE"/>
    <w:rsid w:val="009C330F"/>
    <w:rsid w:val="009C39E9"/>
    <w:rsid w:val="009D12C5"/>
    <w:rsid w:val="009D2B09"/>
    <w:rsid w:val="009D5B76"/>
    <w:rsid w:val="009D6D4D"/>
    <w:rsid w:val="009F6DBA"/>
    <w:rsid w:val="009F6F76"/>
    <w:rsid w:val="009F7824"/>
    <w:rsid w:val="00A00646"/>
    <w:rsid w:val="00A13928"/>
    <w:rsid w:val="00A1497B"/>
    <w:rsid w:val="00A20625"/>
    <w:rsid w:val="00A254C3"/>
    <w:rsid w:val="00A26153"/>
    <w:rsid w:val="00A2730C"/>
    <w:rsid w:val="00A30C28"/>
    <w:rsid w:val="00A45289"/>
    <w:rsid w:val="00A5557F"/>
    <w:rsid w:val="00A5650C"/>
    <w:rsid w:val="00A569AC"/>
    <w:rsid w:val="00A67561"/>
    <w:rsid w:val="00A702BC"/>
    <w:rsid w:val="00A863B2"/>
    <w:rsid w:val="00A9675C"/>
    <w:rsid w:val="00A9779E"/>
    <w:rsid w:val="00AA0FDC"/>
    <w:rsid w:val="00AA4F98"/>
    <w:rsid w:val="00AB25E5"/>
    <w:rsid w:val="00AB2E68"/>
    <w:rsid w:val="00AB44FE"/>
    <w:rsid w:val="00AC1F7B"/>
    <w:rsid w:val="00AC54BD"/>
    <w:rsid w:val="00AD1FF1"/>
    <w:rsid w:val="00AE1B40"/>
    <w:rsid w:val="00B00974"/>
    <w:rsid w:val="00B10B03"/>
    <w:rsid w:val="00B11461"/>
    <w:rsid w:val="00B30070"/>
    <w:rsid w:val="00B33FD9"/>
    <w:rsid w:val="00B35AB4"/>
    <w:rsid w:val="00B41577"/>
    <w:rsid w:val="00B43AFA"/>
    <w:rsid w:val="00B451B3"/>
    <w:rsid w:val="00B5475E"/>
    <w:rsid w:val="00B549D4"/>
    <w:rsid w:val="00B71B81"/>
    <w:rsid w:val="00B73823"/>
    <w:rsid w:val="00B7441D"/>
    <w:rsid w:val="00B74E49"/>
    <w:rsid w:val="00B82FE9"/>
    <w:rsid w:val="00B85AD4"/>
    <w:rsid w:val="00B863D8"/>
    <w:rsid w:val="00B96696"/>
    <w:rsid w:val="00BA2B90"/>
    <w:rsid w:val="00BA4792"/>
    <w:rsid w:val="00BA5F24"/>
    <w:rsid w:val="00BB6129"/>
    <w:rsid w:val="00BD16B8"/>
    <w:rsid w:val="00BD2C97"/>
    <w:rsid w:val="00BD5FDF"/>
    <w:rsid w:val="00BE6B23"/>
    <w:rsid w:val="00BF4CF3"/>
    <w:rsid w:val="00C00612"/>
    <w:rsid w:val="00C03BCE"/>
    <w:rsid w:val="00C0765C"/>
    <w:rsid w:val="00C133C6"/>
    <w:rsid w:val="00C13ABF"/>
    <w:rsid w:val="00C220BB"/>
    <w:rsid w:val="00C26FBA"/>
    <w:rsid w:val="00C31EC6"/>
    <w:rsid w:val="00C43605"/>
    <w:rsid w:val="00C45FDC"/>
    <w:rsid w:val="00C51FCA"/>
    <w:rsid w:val="00C5204F"/>
    <w:rsid w:val="00C56A28"/>
    <w:rsid w:val="00C601DA"/>
    <w:rsid w:val="00C76042"/>
    <w:rsid w:val="00C820DD"/>
    <w:rsid w:val="00C868F2"/>
    <w:rsid w:val="00C9208B"/>
    <w:rsid w:val="00C95293"/>
    <w:rsid w:val="00C9659D"/>
    <w:rsid w:val="00C97B14"/>
    <w:rsid w:val="00CA0B50"/>
    <w:rsid w:val="00CA5207"/>
    <w:rsid w:val="00CA6216"/>
    <w:rsid w:val="00CB24CD"/>
    <w:rsid w:val="00CB2F26"/>
    <w:rsid w:val="00CB79CC"/>
    <w:rsid w:val="00CC1007"/>
    <w:rsid w:val="00CC4B2D"/>
    <w:rsid w:val="00CD054A"/>
    <w:rsid w:val="00CD6D9A"/>
    <w:rsid w:val="00CD7A3E"/>
    <w:rsid w:val="00CE55BF"/>
    <w:rsid w:val="00CE6993"/>
    <w:rsid w:val="00CF0897"/>
    <w:rsid w:val="00CF4AFF"/>
    <w:rsid w:val="00CF51B9"/>
    <w:rsid w:val="00CF6663"/>
    <w:rsid w:val="00CF666D"/>
    <w:rsid w:val="00CF7448"/>
    <w:rsid w:val="00D00917"/>
    <w:rsid w:val="00D03011"/>
    <w:rsid w:val="00D21CA5"/>
    <w:rsid w:val="00D27152"/>
    <w:rsid w:val="00D4574F"/>
    <w:rsid w:val="00D4792D"/>
    <w:rsid w:val="00D61B63"/>
    <w:rsid w:val="00D674A2"/>
    <w:rsid w:val="00D76ED1"/>
    <w:rsid w:val="00D93E02"/>
    <w:rsid w:val="00D968A3"/>
    <w:rsid w:val="00DA0479"/>
    <w:rsid w:val="00DA34B9"/>
    <w:rsid w:val="00DC0167"/>
    <w:rsid w:val="00DC0EE3"/>
    <w:rsid w:val="00DC25C0"/>
    <w:rsid w:val="00DC7109"/>
    <w:rsid w:val="00DD0928"/>
    <w:rsid w:val="00DD671A"/>
    <w:rsid w:val="00DD6F26"/>
    <w:rsid w:val="00DE1C3A"/>
    <w:rsid w:val="00DE7510"/>
    <w:rsid w:val="00DF1512"/>
    <w:rsid w:val="00DF4873"/>
    <w:rsid w:val="00DF6528"/>
    <w:rsid w:val="00E17277"/>
    <w:rsid w:val="00E20384"/>
    <w:rsid w:val="00E32ECA"/>
    <w:rsid w:val="00E3603D"/>
    <w:rsid w:val="00E36065"/>
    <w:rsid w:val="00E50F56"/>
    <w:rsid w:val="00E57372"/>
    <w:rsid w:val="00E60BB8"/>
    <w:rsid w:val="00E73889"/>
    <w:rsid w:val="00E77539"/>
    <w:rsid w:val="00E776F5"/>
    <w:rsid w:val="00E80622"/>
    <w:rsid w:val="00E85596"/>
    <w:rsid w:val="00E90C0F"/>
    <w:rsid w:val="00EB2083"/>
    <w:rsid w:val="00EB2880"/>
    <w:rsid w:val="00EC430C"/>
    <w:rsid w:val="00EC7D3D"/>
    <w:rsid w:val="00ED53CC"/>
    <w:rsid w:val="00ED6A62"/>
    <w:rsid w:val="00EE1A87"/>
    <w:rsid w:val="00EE1F13"/>
    <w:rsid w:val="00EE610F"/>
    <w:rsid w:val="00EF3989"/>
    <w:rsid w:val="00EF5202"/>
    <w:rsid w:val="00F01D14"/>
    <w:rsid w:val="00F039C1"/>
    <w:rsid w:val="00F10256"/>
    <w:rsid w:val="00F1161B"/>
    <w:rsid w:val="00F134B2"/>
    <w:rsid w:val="00F174A2"/>
    <w:rsid w:val="00F17B92"/>
    <w:rsid w:val="00F218F7"/>
    <w:rsid w:val="00F33E99"/>
    <w:rsid w:val="00F421A9"/>
    <w:rsid w:val="00F51ECD"/>
    <w:rsid w:val="00F60D1A"/>
    <w:rsid w:val="00F64ACA"/>
    <w:rsid w:val="00F67BED"/>
    <w:rsid w:val="00F712EB"/>
    <w:rsid w:val="00F81139"/>
    <w:rsid w:val="00F9070A"/>
    <w:rsid w:val="00F929FE"/>
    <w:rsid w:val="00F92DE5"/>
    <w:rsid w:val="00F934CB"/>
    <w:rsid w:val="00FA0CCC"/>
    <w:rsid w:val="00FA202F"/>
    <w:rsid w:val="00FB6042"/>
    <w:rsid w:val="00FC233B"/>
    <w:rsid w:val="00FC5DA3"/>
    <w:rsid w:val="00FD2BDA"/>
    <w:rsid w:val="00FD4BDD"/>
    <w:rsid w:val="00FD5E6E"/>
    <w:rsid w:val="00FE76E4"/>
    <w:rsid w:val="00FF05B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109"/>
    <w:pPr>
      <w:widowControl w:val="0"/>
    </w:pPr>
    <w:rPr>
      <w:snapToGrid w:val="0"/>
      <w:kern w:val="28"/>
      <w:sz w:val="22"/>
    </w:rPr>
  </w:style>
  <w:style w:type="paragraph" w:styleId="Heading1">
    <w:name w:val="heading 1"/>
    <w:basedOn w:val="Normal"/>
    <w:next w:val="ParaNum"/>
    <w:qFormat/>
    <w:rsid w:val="00DC7109"/>
    <w:pPr>
      <w:keepNext/>
      <w:numPr>
        <w:numId w:val="3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C7109"/>
    <w:pPr>
      <w:keepNext/>
      <w:numPr>
        <w:ilvl w:val="1"/>
        <w:numId w:val="31"/>
      </w:numPr>
      <w:spacing w:after="120"/>
      <w:outlineLvl w:val="1"/>
    </w:pPr>
    <w:rPr>
      <w:b/>
    </w:rPr>
  </w:style>
  <w:style w:type="paragraph" w:styleId="Heading3">
    <w:name w:val="heading 3"/>
    <w:basedOn w:val="Normal"/>
    <w:next w:val="ParaNum"/>
    <w:qFormat/>
    <w:rsid w:val="00DC7109"/>
    <w:pPr>
      <w:keepNext/>
      <w:numPr>
        <w:ilvl w:val="2"/>
        <w:numId w:val="31"/>
      </w:numPr>
      <w:tabs>
        <w:tab w:val="left" w:pos="2160"/>
      </w:tabs>
      <w:spacing w:after="120"/>
      <w:outlineLvl w:val="2"/>
    </w:pPr>
    <w:rPr>
      <w:b/>
    </w:rPr>
  </w:style>
  <w:style w:type="paragraph" w:styleId="Heading4">
    <w:name w:val="heading 4"/>
    <w:basedOn w:val="Normal"/>
    <w:next w:val="ParaNum"/>
    <w:qFormat/>
    <w:rsid w:val="00DC7109"/>
    <w:pPr>
      <w:keepNext/>
      <w:numPr>
        <w:ilvl w:val="3"/>
        <w:numId w:val="31"/>
      </w:numPr>
      <w:tabs>
        <w:tab w:val="left" w:pos="2880"/>
      </w:tabs>
      <w:spacing w:after="120"/>
      <w:outlineLvl w:val="3"/>
    </w:pPr>
    <w:rPr>
      <w:b/>
    </w:rPr>
  </w:style>
  <w:style w:type="paragraph" w:styleId="Heading5">
    <w:name w:val="heading 5"/>
    <w:basedOn w:val="Normal"/>
    <w:next w:val="ParaNum"/>
    <w:qFormat/>
    <w:rsid w:val="00DC7109"/>
    <w:pPr>
      <w:keepNext/>
      <w:numPr>
        <w:ilvl w:val="4"/>
        <w:numId w:val="31"/>
      </w:numPr>
      <w:tabs>
        <w:tab w:val="left" w:pos="3600"/>
      </w:tabs>
      <w:suppressAutoHyphens/>
      <w:spacing w:after="120"/>
      <w:outlineLvl w:val="4"/>
    </w:pPr>
    <w:rPr>
      <w:b/>
    </w:rPr>
  </w:style>
  <w:style w:type="paragraph" w:styleId="Heading6">
    <w:name w:val="heading 6"/>
    <w:basedOn w:val="Normal"/>
    <w:next w:val="ParaNum"/>
    <w:qFormat/>
    <w:rsid w:val="00DC7109"/>
    <w:pPr>
      <w:numPr>
        <w:ilvl w:val="5"/>
        <w:numId w:val="31"/>
      </w:numPr>
      <w:tabs>
        <w:tab w:val="left" w:pos="4320"/>
      </w:tabs>
      <w:spacing w:after="120"/>
      <w:outlineLvl w:val="5"/>
    </w:pPr>
    <w:rPr>
      <w:b/>
    </w:rPr>
  </w:style>
  <w:style w:type="paragraph" w:styleId="Heading7">
    <w:name w:val="heading 7"/>
    <w:basedOn w:val="Normal"/>
    <w:next w:val="ParaNum"/>
    <w:qFormat/>
    <w:rsid w:val="00DC7109"/>
    <w:pPr>
      <w:numPr>
        <w:ilvl w:val="6"/>
        <w:numId w:val="31"/>
      </w:numPr>
      <w:tabs>
        <w:tab w:val="left" w:pos="5040"/>
      </w:tabs>
      <w:spacing w:after="120"/>
      <w:ind w:left="5040" w:hanging="720"/>
      <w:outlineLvl w:val="6"/>
    </w:pPr>
    <w:rPr>
      <w:b/>
    </w:rPr>
  </w:style>
  <w:style w:type="paragraph" w:styleId="Heading8">
    <w:name w:val="heading 8"/>
    <w:basedOn w:val="Normal"/>
    <w:next w:val="ParaNum"/>
    <w:qFormat/>
    <w:rsid w:val="00DC7109"/>
    <w:pPr>
      <w:numPr>
        <w:ilvl w:val="7"/>
        <w:numId w:val="31"/>
      </w:numPr>
      <w:tabs>
        <w:tab w:val="clear" w:pos="5400"/>
        <w:tab w:val="left" w:pos="5760"/>
      </w:tabs>
      <w:spacing w:after="120"/>
      <w:ind w:left="5760" w:hanging="720"/>
      <w:outlineLvl w:val="7"/>
    </w:pPr>
    <w:rPr>
      <w:b/>
    </w:rPr>
  </w:style>
  <w:style w:type="paragraph" w:styleId="Heading9">
    <w:name w:val="heading 9"/>
    <w:basedOn w:val="Normal"/>
    <w:next w:val="ParaNum"/>
    <w:qFormat/>
    <w:rsid w:val="00DC7109"/>
    <w:pPr>
      <w:numPr>
        <w:ilvl w:val="8"/>
        <w:numId w:val="3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2"/>
    <w:uiPriority w:val="99"/>
    <w:rsid w:val="00DC7109"/>
    <w:pPr>
      <w:numPr>
        <w:numId w:val="30"/>
      </w:numPr>
      <w:tabs>
        <w:tab w:val="clear" w:pos="5580"/>
        <w:tab w:val="num" w:pos="1080"/>
      </w:tabs>
      <w:spacing w:after="120"/>
      <w:ind w:left="0"/>
    </w:p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
    <w:uiPriority w:val="99"/>
    <w:rsid w:val="00DC7109"/>
    <w:pPr>
      <w:spacing w:after="120"/>
    </w:pPr>
  </w:style>
  <w:style w:type="paragraph" w:customStyle="1" w:styleId="Bullet">
    <w:name w:val="Bullet"/>
    <w:basedOn w:val="Normal"/>
    <w:rsid w:val="00DC7109"/>
    <w:pPr>
      <w:tabs>
        <w:tab w:val="left" w:pos="2160"/>
      </w:tabs>
      <w:spacing w:after="220"/>
      <w:ind w:left="2160" w:hanging="720"/>
    </w:pPr>
  </w:style>
  <w:style w:type="paragraph" w:styleId="BlockText">
    <w:name w:val="Block Text"/>
    <w:basedOn w:val="Normal"/>
    <w:rsid w:val="00DC7109"/>
    <w:pPr>
      <w:spacing w:after="240"/>
      <w:ind w:left="1440" w:right="1440"/>
    </w:pPr>
  </w:style>
  <w:style w:type="paragraph" w:customStyle="1" w:styleId="TableFormat">
    <w:name w:val="TableFormat"/>
    <w:basedOn w:val="Bullet"/>
    <w:rsid w:val="00DC7109"/>
    <w:pPr>
      <w:tabs>
        <w:tab w:val="clear" w:pos="2160"/>
        <w:tab w:val="left" w:pos="5040"/>
      </w:tabs>
      <w:ind w:left="5040" w:hanging="3600"/>
    </w:pPr>
  </w:style>
  <w:style w:type="character" w:styleId="FootnoteReference">
    <w:name w:val="footnote reference"/>
    <w:aliases w:val="Style 12,(NECG) Footnote Reference,Style 13,Appel note de bas de p,Style 124,fr,o,Style 3,FR,Style 17,Footnote Reference/,Style 6"/>
    <w:rsid w:val="00DC7109"/>
    <w:rPr>
      <w:rFonts w:ascii="Times New Roman" w:hAnsi="Times New Roman"/>
      <w:dstrike w:val="0"/>
      <w:color w:val="auto"/>
      <w:sz w:val="20"/>
      <w:vertAlign w:val="superscript"/>
    </w:rPr>
  </w:style>
  <w:style w:type="paragraph" w:styleId="Header">
    <w:name w:val="header"/>
    <w:basedOn w:val="Normal"/>
    <w:autoRedefine/>
    <w:rsid w:val="00DC7109"/>
    <w:pPr>
      <w:tabs>
        <w:tab w:val="center" w:pos="4680"/>
        <w:tab w:val="right" w:pos="9360"/>
      </w:tabs>
    </w:pPr>
    <w:rPr>
      <w:b/>
    </w:rPr>
  </w:style>
  <w:style w:type="paragraph" w:styleId="Footer">
    <w:name w:val="footer"/>
    <w:basedOn w:val="Normal"/>
    <w:link w:val="FooterChar"/>
    <w:rsid w:val="00DC7109"/>
    <w:pPr>
      <w:tabs>
        <w:tab w:val="center" w:pos="4320"/>
        <w:tab w:val="right" w:pos="8640"/>
      </w:tabs>
    </w:pPr>
  </w:style>
  <w:style w:type="paragraph" w:styleId="TOC2">
    <w:name w:val="toc 2"/>
    <w:basedOn w:val="Normal"/>
    <w:next w:val="Normal"/>
    <w:semiHidden/>
    <w:rsid w:val="00DC7109"/>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DC7109"/>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DC710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C710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C710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C710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C710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C710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C7109"/>
    <w:pPr>
      <w:tabs>
        <w:tab w:val="left" w:pos="3240"/>
        <w:tab w:val="right" w:leader="dot" w:pos="9360"/>
      </w:tabs>
      <w:suppressAutoHyphens/>
      <w:ind w:left="3240" w:hanging="360"/>
    </w:pPr>
    <w:rPr>
      <w:noProof/>
    </w:rPr>
  </w:style>
  <w:style w:type="character" w:styleId="PageNumber">
    <w:name w:val="page number"/>
    <w:basedOn w:val="DefaultParagraphFont"/>
    <w:rsid w:val="00DC7109"/>
  </w:style>
  <w:style w:type="paragraph" w:styleId="Title">
    <w:name w:val="Title"/>
    <w:basedOn w:val="Normal"/>
    <w:qFormat/>
    <w:pPr>
      <w:jc w:val="center"/>
    </w:pPr>
    <w:rPr>
      <w:b/>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StyleNumberedparagraphs11ptChar">
    <w:name w:val="Style Numbered paragraphs + 11 pt Char"/>
    <w:rPr>
      <w:noProof w:val="0"/>
      <w:sz w:val="22"/>
      <w:lang w:val="en-US" w:eastAsia="en-US" w:bidi="ar-SA"/>
    </w:rPr>
  </w:style>
  <w:style w:type="paragraph" w:customStyle="1" w:styleId="ColorfulShading-Accent11">
    <w:name w:val="Colorful Shading - Accent 11"/>
    <w:hidden/>
    <w:uiPriority w:val="99"/>
    <w:semiHidden/>
    <w:rPr>
      <w:sz w:val="22"/>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uiPriority w:val="99"/>
    <w:locked/>
  </w:style>
  <w:style w:type="character" w:styleId="Hyperlink">
    <w:name w:val="Hyperlink"/>
    <w:rsid w:val="00DC7109"/>
    <w:rPr>
      <w:color w:val="0000FF"/>
      <w:u w:val="single"/>
    </w:rPr>
  </w:style>
  <w:style w:type="character" w:styleId="FollowedHyperlink">
    <w:name w:val="FollowedHyperlink"/>
    <w:rPr>
      <w:color w:val="800080"/>
      <w:u w:val="single"/>
    </w:rPr>
  </w:style>
  <w:style w:type="character" w:customStyle="1" w:styleId="FootnoteTextChar1">
    <w:name w:val="Footnote Text Char1"/>
    <w:aliases w:val="ALTS FOOTNOTE Char2,fn Char3,ALTS FOOTNOTE Char Char1,fn Char Char1,Footnote Text Char1 Char Char1,Footnote Text Char Char Char Char1,Footnote Text Char2 Char Char Char Char1,Footnote Text Char1 Char1 Char Char Char Char1,f Char1"/>
    <w:uiPriority w:val="99"/>
    <w:locked/>
    <w:rsid w:val="00B7441D"/>
  </w:style>
  <w:style w:type="paragraph" w:styleId="EndnoteText">
    <w:name w:val="endnote text"/>
    <w:basedOn w:val="Normal"/>
    <w:link w:val="EndnoteTextChar"/>
    <w:rsid w:val="00DC7109"/>
    <w:rPr>
      <w:sz w:val="20"/>
    </w:rPr>
  </w:style>
  <w:style w:type="character" w:customStyle="1" w:styleId="EndnoteTextChar">
    <w:name w:val="Endnote Text Char"/>
    <w:link w:val="EndnoteText"/>
    <w:rsid w:val="00B549D4"/>
    <w:rPr>
      <w:snapToGrid w:val="0"/>
      <w:kern w:val="28"/>
    </w:rPr>
  </w:style>
  <w:style w:type="character" w:styleId="EndnoteReference">
    <w:name w:val="endnote reference"/>
    <w:rsid w:val="00DC7109"/>
    <w:rPr>
      <w:vertAlign w:val="superscript"/>
    </w:rPr>
  </w:style>
  <w:style w:type="paragraph" w:styleId="TOAHeading">
    <w:name w:val="toa heading"/>
    <w:basedOn w:val="Normal"/>
    <w:next w:val="Normal"/>
    <w:rsid w:val="00DC7109"/>
    <w:pPr>
      <w:tabs>
        <w:tab w:val="right" w:pos="9360"/>
      </w:tabs>
      <w:suppressAutoHyphens/>
    </w:pPr>
  </w:style>
  <w:style w:type="character" w:customStyle="1" w:styleId="EquationCaption">
    <w:name w:val="_Equation Caption"/>
    <w:rsid w:val="00DC7109"/>
  </w:style>
  <w:style w:type="paragraph" w:customStyle="1" w:styleId="Paratitle">
    <w:name w:val="Para title"/>
    <w:basedOn w:val="Normal"/>
    <w:rsid w:val="00DC7109"/>
    <w:pPr>
      <w:tabs>
        <w:tab w:val="center" w:pos="9270"/>
      </w:tabs>
      <w:spacing w:after="240"/>
    </w:pPr>
    <w:rPr>
      <w:spacing w:val="-2"/>
    </w:rPr>
  </w:style>
  <w:style w:type="paragraph" w:customStyle="1" w:styleId="TOCTitle">
    <w:name w:val="TOC Title"/>
    <w:basedOn w:val="Normal"/>
    <w:rsid w:val="00DC710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C7109"/>
    <w:pPr>
      <w:jc w:val="center"/>
    </w:pPr>
    <w:rPr>
      <w:rFonts w:ascii="Times New Roman Bold" w:hAnsi="Times New Roman Bold"/>
      <w:b/>
      <w:bCs/>
      <w:caps/>
      <w:szCs w:val="22"/>
    </w:rPr>
  </w:style>
  <w:style w:type="character" w:customStyle="1" w:styleId="FooterChar">
    <w:name w:val="Footer Char"/>
    <w:link w:val="Footer"/>
    <w:rsid w:val="001340B8"/>
    <w:rPr>
      <w:snapToGrid w:val="0"/>
      <w:kern w:val="28"/>
      <w:sz w:val="22"/>
    </w:rPr>
  </w:style>
  <w:style w:type="character" w:customStyle="1" w:styleId="ParaNumChar2">
    <w:name w:val="ParaNum Char2"/>
    <w:link w:val="ParaNum"/>
    <w:uiPriority w:val="99"/>
    <w:locked/>
    <w:rsid w:val="001340B8"/>
    <w:rPr>
      <w:snapToGrid w:val="0"/>
      <w:kern w:val="28"/>
      <w:sz w:val="22"/>
    </w:rPr>
  </w:style>
  <w:style w:type="paragraph" w:styleId="Revision">
    <w:name w:val="Revision"/>
    <w:hidden/>
    <w:uiPriority w:val="99"/>
    <w:semiHidden/>
    <w:rsid w:val="005C776D"/>
    <w:rPr>
      <w:snapToGrid w:val="0"/>
      <w:kern w:val="28"/>
      <w:sz w:val="22"/>
    </w:rPr>
  </w:style>
  <w:style w:type="character" w:customStyle="1" w:styleId="apple-converted-space">
    <w:name w:val="apple-converted-space"/>
    <w:basedOn w:val="DefaultParagraphFont"/>
    <w:rsid w:val="00F64ACA"/>
  </w:style>
  <w:style w:type="paragraph" w:styleId="DocumentMap">
    <w:name w:val="Document Map"/>
    <w:basedOn w:val="Normal"/>
    <w:link w:val="DocumentMapChar"/>
    <w:rsid w:val="002E3509"/>
    <w:rPr>
      <w:rFonts w:ascii="Lucida Grande" w:hAnsi="Lucida Grande"/>
      <w:sz w:val="24"/>
      <w:szCs w:val="24"/>
    </w:rPr>
  </w:style>
  <w:style w:type="character" w:customStyle="1" w:styleId="DocumentMapChar">
    <w:name w:val="Document Map Char"/>
    <w:basedOn w:val="DefaultParagraphFont"/>
    <w:link w:val="DocumentMap"/>
    <w:rsid w:val="002E3509"/>
    <w:rPr>
      <w:rFonts w:ascii="Lucida Grande" w:hAnsi="Lucida Grande"/>
      <w:snapToGrid w:val="0"/>
      <w:kern w:val="28"/>
      <w:sz w:val="24"/>
      <w:szCs w:val="24"/>
    </w:rPr>
  </w:style>
  <w:style w:type="character" w:customStyle="1" w:styleId="counderline2">
    <w:name w:val="co_underline2"/>
    <w:basedOn w:val="DefaultParagraphFont"/>
    <w:rsid w:val="00E36065"/>
    <w:rPr>
      <w:u w:val="single"/>
    </w:rPr>
  </w:style>
  <w:style w:type="table" w:styleId="TableGrid">
    <w:name w:val="Table Grid"/>
    <w:basedOn w:val="TableNormal"/>
    <w:rsid w:val="00367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4F18"/>
    <w:pPr>
      <w:widowControl/>
      <w:ind w:left="720"/>
    </w:pPr>
    <w:rPr>
      <w:rFonts w:ascii="Calibri" w:eastAsiaTheme="minorHAnsi" w:hAnsi="Calibri"/>
      <w:snapToGrid/>
      <w:kern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109"/>
    <w:pPr>
      <w:widowControl w:val="0"/>
    </w:pPr>
    <w:rPr>
      <w:snapToGrid w:val="0"/>
      <w:kern w:val="28"/>
      <w:sz w:val="22"/>
    </w:rPr>
  </w:style>
  <w:style w:type="paragraph" w:styleId="Heading1">
    <w:name w:val="heading 1"/>
    <w:basedOn w:val="Normal"/>
    <w:next w:val="ParaNum"/>
    <w:qFormat/>
    <w:rsid w:val="00DC7109"/>
    <w:pPr>
      <w:keepNext/>
      <w:numPr>
        <w:numId w:val="3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C7109"/>
    <w:pPr>
      <w:keepNext/>
      <w:numPr>
        <w:ilvl w:val="1"/>
        <w:numId w:val="31"/>
      </w:numPr>
      <w:spacing w:after="120"/>
      <w:outlineLvl w:val="1"/>
    </w:pPr>
    <w:rPr>
      <w:b/>
    </w:rPr>
  </w:style>
  <w:style w:type="paragraph" w:styleId="Heading3">
    <w:name w:val="heading 3"/>
    <w:basedOn w:val="Normal"/>
    <w:next w:val="ParaNum"/>
    <w:qFormat/>
    <w:rsid w:val="00DC7109"/>
    <w:pPr>
      <w:keepNext/>
      <w:numPr>
        <w:ilvl w:val="2"/>
        <w:numId w:val="31"/>
      </w:numPr>
      <w:tabs>
        <w:tab w:val="left" w:pos="2160"/>
      </w:tabs>
      <w:spacing w:after="120"/>
      <w:outlineLvl w:val="2"/>
    </w:pPr>
    <w:rPr>
      <w:b/>
    </w:rPr>
  </w:style>
  <w:style w:type="paragraph" w:styleId="Heading4">
    <w:name w:val="heading 4"/>
    <w:basedOn w:val="Normal"/>
    <w:next w:val="ParaNum"/>
    <w:qFormat/>
    <w:rsid w:val="00DC7109"/>
    <w:pPr>
      <w:keepNext/>
      <w:numPr>
        <w:ilvl w:val="3"/>
        <w:numId w:val="31"/>
      </w:numPr>
      <w:tabs>
        <w:tab w:val="left" w:pos="2880"/>
      </w:tabs>
      <w:spacing w:after="120"/>
      <w:outlineLvl w:val="3"/>
    </w:pPr>
    <w:rPr>
      <w:b/>
    </w:rPr>
  </w:style>
  <w:style w:type="paragraph" w:styleId="Heading5">
    <w:name w:val="heading 5"/>
    <w:basedOn w:val="Normal"/>
    <w:next w:val="ParaNum"/>
    <w:qFormat/>
    <w:rsid w:val="00DC7109"/>
    <w:pPr>
      <w:keepNext/>
      <w:numPr>
        <w:ilvl w:val="4"/>
        <w:numId w:val="31"/>
      </w:numPr>
      <w:tabs>
        <w:tab w:val="left" w:pos="3600"/>
      </w:tabs>
      <w:suppressAutoHyphens/>
      <w:spacing w:after="120"/>
      <w:outlineLvl w:val="4"/>
    </w:pPr>
    <w:rPr>
      <w:b/>
    </w:rPr>
  </w:style>
  <w:style w:type="paragraph" w:styleId="Heading6">
    <w:name w:val="heading 6"/>
    <w:basedOn w:val="Normal"/>
    <w:next w:val="ParaNum"/>
    <w:qFormat/>
    <w:rsid w:val="00DC7109"/>
    <w:pPr>
      <w:numPr>
        <w:ilvl w:val="5"/>
        <w:numId w:val="31"/>
      </w:numPr>
      <w:tabs>
        <w:tab w:val="left" w:pos="4320"/>
      </w:tabs>
      <w:spacing w:after="120"/>
      <w:outlineLvl w:val="5"/>
    </w:pPr>
    <w:rPr>
      <w:b/>
    </w:rPr>
  </w:style>
  <w:style w:type="paragraph" w:styleId="Heading7">
    <w:name w:val="heading 7"/>
    <w:basedOn w:val="Normal"/>
    <w:next w:val="ParaNum"/>
    <w:qFormat/>
    <w:rsid w:val="00DC7109"/>
    <w:pPr>
      <w:numPr>
        <w:ilvl w:val="6"/>
        <w:numId w:val="31"/>
      </w:numPr>
      <w:tabs>
        <w:tab w:val="left" w:pos="5040"/>
      </w:tabs>
      <w:spacing w:after="120"/>
      <w:ind w:left="5040" w:hanging="720"/>
      <w:outlineLvl w:val="6"/>
    </w:pPr>
    <w:rPr>
      <w:b/>
    </w:rPr>
  </w:style>
  <w:style w:type="paragraph" w:styleId="Heading8">
    <w:name w:val="heading 8"/>
    <w:basedOn w:val="Normal"/>
    <w:next w:val="ParaNum"/>
    <w:qFormat/>
    <w:rsid w:val="00DC7109"/>
    <w:pPr>
      <w:numPr>
        <w:ilvl w:val="7"/>
        <w:numId w:val="31"/>
      </w:numPr>
      <w:tabs>
        <w:tab w:val="clear" w:pos="5400"/>
        <w:tab w:val="left" w:pos="5760"/>
      </w:tabs>
      <w:spacing w:after="120"/>
      <w:ind w:left="5760" w:hanging="720"/>
      <w:outlineLvl w:val="7"/>
    </w:pPr>
    <w:rPr>
      <w:b/>
    </w:rPr>
  </w:style>
  <w:style w:type="paragraph" w:styleId="Heading9">
    <w:name w:val="heading 9"/>
    <w:basedOn w:val="Normal"/>
    <w:next w:val="ParaNum"/>
    <w:qFormat/>
    <w:rsid w:val="00DC7109"/>
    <w:pPr>
      <w:numPr>
        <w:ilvl w:val="8"/>
        <w:numId w:val="3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2"/>
    <w:uiPriority w:val="99"/>
    <w:rsid w:val="00DC7109"/>
    <w:pPr>
      <w:numPr>
        <w:numId w:val="30"/>
      </w:numPr>
      <w:tabs>
        <w:tab w:val="clear" w:pos="5580"/>
        <w:tab w:val="num" w:pos="1080"/>
      </w:tabs>
      <w:spacing w:after="120"/>
      <w:ind w:left="0"/>
    </w:p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
    <w:uiPriority w:val="99"/>
    <w:rsid w:val="00DC7109"/>
    <w:pPr>
      <w:spacing w:after="120"/>
    </w:pPr>
  </w:style>
  <w:style w:type="paragraph" w:customStyle="1" w:styleId="Bullet">
    <w:name w:val="Bullet"/>
    <w:basedOn w:val="Normal"/>
    <w:rsid w:val="00DC7109"/>
    <w:pPr>
      <w:tabs>
        <w:tab w:val="left" w:pos="2160"/>
      </w:tabs>
      <w:spacing w:after="220"/>
      <w:ind w:left="2160" w:hanging="720"/>
    </w:pPr>
  </w:style>
  <w:style w:type="paragraph" w:styleId="BlockText">
    <w:name w:val="Block Text"/>
    <w:basedOn w:val="Normal"/>
    <w:rsid w:val="00DC7109"/>
    <w:pPr>
      <w:spacing w:after="240"/>
      <w:ind w:left="1440" w:right="1440"/>
    </w:pPr>
  </w:style>
  <w:style w:type="paragraph" w:customStyle="1" w:styleId="TableFormat">
    <w:name w:val="TableFormat"/>
    <w:basedOn w:val="Bullet"/>
    <w:rsid w:val="00DC7109"/>
    <w:pPr>
      <w:tabs>
        <w:tab w:val="clear" w:pos="2160"/>
        <w:tab w:val="left" w:pos="5040"/>
      </w:tabs>
      <w:ind w:left="5040" w:hanging="3600"/>
    </w:pPr>
  </w:style>
  <w:style w:type="character" w:styleId="FootnoteReference">
    <w:name w:val="footnote reference"/>
    <w:aliases w:val="Style 12,(NECG) Footnote Reference,Style 13,Appel note de bas de p,Style 124,fr,o,Style 3,FR,Style 17,Footnote Reference/,Style 6"/>
    <w:rsid w:val="00DC7109"/>
    <w:rPr>
      <w:rFonts w:ascii="Times New Roman" w:hAnsi="Times New Roman"/>
      <w:dstrike w:val="0"/>
      <w:color w:val="auto"/>
      <w:sz w:val="20"/>
      <w:vertAlign w:val="superscript"/>
    </w:rPr>
  </w:style>
  <w:style w:type="paragraph" w:styleId="Header">
    <w:name w:val="header"/>
    <w:basedOn w:val="Normal"/>
    <w:autoRedefine/>
    <w:rsid w:val="00DC7109"/>
    <w:pPr>
      <w:tabs>
        <w:tab w:val="center" w:pos="4680"/>
        <w:tab w:val="right" w:pos="9360"/>
      </w:tabs>
    </w:pPr>
    <w:rPr>
      <w:b/>
    </w:rPr>
  </w:style>
  <w:style w:type="paragraph" w:styleId="Footer">
    <w:name w:val="footer"/>
    <w:basedOn w:val="Normal"/>
    <w:link w:val="FooterChar"/>
    <w:rsid w:val="00DC7109"/>
    <w:pPr>
      <w:tabs>
        <w:tab w:val="center" w:pos="4320"/>
        <w:tab w:val="right" w:pos="8640"/>
      </w:tabs>
    </w:pPr>
  </w:style>
  <w:style w:type="paragraph" w:styleId="TOC2">
    <w:name w:val="toc 2"/>
    <w:basedOn w:val="Normal"/>
    <w:next w:val="Normal"/>
    <w:semiHidden/>
    <w:rsid w:val="00DC7109"/>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DC7109"/>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DC710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C710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C710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C710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C710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C710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C7109"/>
    <w:pPr>
      <w:tabs>
        <w:tab w:val="left" w:pos="3240"/>
        <w:tab w:val="right" w:leader="dot" w:pos="9360"/>
      </w:tabs>
      <w:suppressAutoHyphens/>
      <w:ind w:left="3240" w:hanging="360"/>
    </w:pPr>
    <w:rPr>
      <w:noProof/>
    </w:rPr>
  </w:style>
  <w:style w:type="character" w:styleId="PageNumber">
    <w:name w:val="page number"/>
    <w:basedOn w:val="DefaultParagraphFont"/>
    <w:rsid w:val="00DC7109"/>
  </w:style>
  <w:style w:type="paragraph" w:styleId="Title">
    <w:name w:val="Title"/>
    <w:basedOn w:val="Normal"/>
    <w:qFormat/>
    <w:pPr>
      <w:jc w:val="center"/>
    </w:pPr>
    <w:rPr>
      <w:b/>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StyleNumberedparagraphs11ptChar">
    <w:name w:val="Style Numbered paragraphs + 11 pt Char"/>
    <w:rPr>
      <w:noProof w:val="0"/>
      <w:sz w:val="22"/>
      <w:lang w:val="en-US" w:eastAsia="en-US" w:bidi="ar-SA"/>
    </w:rPr>
  </w:style>
  <w:style w:type="paragraph" w:customStyle="1" w:styleId="ColorfulShading-Accent11">
    <w:name w:val="Colorful Shading - Accent 11"/>
    <w:hidden/>
    <w:uiPriority w:val="99"/>
    <w:semiHidden/>
    <w:rPr>
      <w:sz w:val="22"/>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uiPriority w:val="99"/>
    <w:locked/>
  </w:style>
  <w:style w:type="character" w:styleId="Hyperlink">
    <w:name w:val="Hyperlink"/>
    <w:rsid w:val="00DC7109"/>
    <w:rPr>
      <w:color w:val="0000FF"/>
      <w:u w:val="single"/>
    </w:rPr>
  </w:style>
  <w:style w:type="character" w:styleId="FollowedHyperlink">
    <w:name w:val="FollowedHyperlink"/>
    <w:rPr>
      <w:color w:val="800080"/>
      <w:u w:val="single"/>
    </w:rPr>
  </w:style>
  <w:style w:type="character" w:customStyle="1" w:styleId="FootnoteTextChar1">
    <w:name w:val="Footnote Text Char1"/>
    <w:aliases w:val="ALTS FOOTNOTE Char2,fn Char3,ALTS FOOTNOTE Char Char1,fn Char Char1,Footnote Text Char1 Char Char1,Footnote Text Char Char Char Char1,Footnote Text Char2 Char Char Char Char1,Footnote Text Char1 Char1 Char Char Char Char1,f Char1"/>
    <w:uiPriority w:val="99"/>
    <w:locked/>
    <w:rsid w:val="00B7441D"/>
  </w:style>
  <w:style w:type="paragraph" w:styleId="EndnoteText">
    <w:name w:val="endnote text"/>
    <w:basedOn w:val="Normal"/>
    <w:link w:val="EndnoteTextChar"/>
    <w:rsid w:val="00DC7109"/>
    <w:rPr>
      <w:sz w:val="20"/>
    </w:rPr>
  </w:style>
  <w:style w:type="character" w:customStyle="1" w:styleId="EndnoteTextChar">
    <w:name w:val="Endnote Text Char"/>
    <w:link w:val="EndnoteText"/>
    <w:rsid w:val="00B549D4"/>
    <w:rPr>
      <w:snapToGrid w:val="0"/>
      <w:kern w:val="28"/>
    </w:rPr>
  </w:style>
  <w:style w:type="character" w:styleId="EndnoteReference">
    <w:name w:val="endnote reference"/>
    <w:rsid w:val="00DC7109"/>
    <w:rPr>
      <w:vertAlign w:val="superscript"/>
    </w:rPr>
  </w:style>
  <w:style w:type="paragraph" w:styleId="TOAHeading">
    <w:name w:val="toa heading"/>
    <w:basedOn w:val="Normal"/>
    <w:next w:val="Normal"/>
    <w:rsid w:val="00DC7109"/>
    <w:pPr>
      <w:tabs>
        <w:tab w:val="right" w:pos="9360"/>
      </w:tabs>
      <w:suppressAutoHyphens/>
    </w:pPr>
  </w:style>
  <w:style w:type="character" w:customStyle="1" w:styleId="EquationCaption">
    <w:name w:val="_Equation Caption"/>
    <w:rsid w:val="00DC7109"/>
  </w:style>
  <w:style w:type="paragraph" w:customStyle="1" w:styleId="Paratitle">
    <w:name w:val="Para title"/>
    <w:basedOn w:val="Normal"/>
    <w:rsid w:val="00DC7109"/>
    <w:pPr>
      <w:tabs>
        <w:tab w:val="center" w:pos="9270"/>
      </w:tabs>
      <w:spacing w:after="240"/>
    </w:pPr>
    <w:rPr>
      <w:spacing w:val="-2"/>
    </w:rPr>
  </w:style>
  <w:style w:type="paragraph" w:customStyle="1" w:styleId="TOCTitle">
    <w:name w:val="TOC Title"/>
    <w:basedOn w:val="Normal"/>
    <w:rsid w:val="00DC710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C7109"/>
    <w:pPr>
      <w:jc w:val="center"/>
    </w:pPr>
    <w:rPr>
      <w:rFonts w:ascii="Times New Roman Bold" w:hAnsi="Times New Roman Bold"/>
      <w:b/>
      <w:bCs/>
      <w:caps/>
      <w:szCs w:val="22"/>
    </w:rPr>
  </w:style>
  <w:style w:type="character" w:customStyle="1" w:styleId="FooterChar">
    <w:name w:val="Footer Char"/>
    <w:link w:val="Footer"/>
    <w:rsid w:val="001340B8"/>
    <w:rPr>
      <w:snapToGrid w:val="0"/>
      <w:kern w:val="28"/>
      <w:sz w:val="22"/>
    </w:rPr>
  </w:style>
  <w:style w:type="character" w:customStyle="1" w:styleId="ParaNumChar2">
    <w:name w:val="ParaNum Char2"/>
    <w:link w:val="ParaNum"/>
    <w:uiPriority w:val="99"/>
    <w:locked/>
    <w:rsid w:val="001340B8"/>
    <w:rPr>
      <w:snapToGrid w:val="0"/>
      <w:kern w:val="28"/>
      <w:sz w:val="22"/>
    </w:rPr>
  </w:style>
  <w:style w:type="paragraph" w:styleId="Revision">
    <w:name w:val="Revision"/>
    <w:hidden/>
    <w:uiPriority w:val="99"/>
    <w:semiHidden/>
    <w:rsid w:val="005C776D"/>
    <w:rPr>
      <w:snapToGrid w:val="0"/>
      <w:kern w:val="28"/>
      <w:sz w:val="22"/>
    </w:rPr>
  </w:style>
  <w:style w:type="character" w:customStyle="1" w:styleId="apple-converted-space">
    <w:name w:val="apple-converted-space"/>
    <w:basedOn w:val="DefaultParagraphFont"/>
    <w:rsid w:val="00F64ACA"/>
  </w:style>
  <w:style w:type="paragraph" w:styleId="DocumentMap">
    <w:name w:val="Document Map"/>
    <w:basedOn w:val="Normal"/>
    <w:link w:val="DocumentMapChar"/>
    <w:rsid w:val="002E3509"/>
    <w:rPr>
      <w:rFonts w:ascii="Lucida Grande" w:hAnsi="Lucida Grande"/>
      <w:sz w:val="24"/>
      <w:szCs w:val="24"/>
    </w:rPr>
  </w:style>
  <w:style w:type="character" w:customStyle="1" w:styleId="DocumentMapChar">
    <w:name w:val="Document Map Char"/>
    <w:basedOn w:val="DefaultParagraphFont"/>
    <w:link w:val="DocumentMap"/>
    <w:rsid w:val="002E3509"/>
    <w:rPr>
      <w:rFonts w:ascii="Lucida Grande" w:hAnsi="Lucida Grande"/>
      <w:snapToGrid w:val="0"/>
      <w:kern w:val="28"/>
      <w:sz w:val="24"/>
      <w:szCs w:val="24"/>
    </w:rPr>
  </w:style>
  <w:style w:type="character" w:customStyle="1" w:styleId="counderline2">
    <w:name w:val="co_underline2"/>
    <w:basedOn w:val="DefaultParagraphFont"/>
    <w:rsid w:val="00E36065"/>
    <w:rPr>
      <w:u w:val="single"/>
    </w:rPr>
  </w:style>
  <w:style w:type="table" w:styleId="TableGrid">
    <w:name w:val="Table Grid"/>
    <w:basedOn w:val="TableNormal"/>
    <w:rsid w:val="00367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4F18"/>
    <w:pPr>
      <w:widowControl/>
      <w:ind w:left="720"/>
    </w:pPr>
    <w:rPr>
      <w:rFonts w:ascii="Calibri" w:eastAsiaTheme="minorHAnsi" w:hAnsi="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09011">
      <w:bodyDiv w:val="1"/>
      <w:marLeft w:val="0"/>
      <w:marRight w:val="0"/>
      <w:marTop w:val="0"/>
      <w:marBottom w:val="0"/>
      <w:divBdr>
        <w:top w:val="none" w:sz="0" w:space="0" w:color="auto"/>
        <w:left w:val="none" w:sz="0" w:space="0" w:color="auto"/>
        <w:bottom w:val="none" w:sz="0" w:space="0" w:color="auto"/>
        <w:right w:val="none" w:sz="0" w:space="0" w:color="auto"/>
      </w:divBdr>
    </w:div>
    <w:div w:id="350450407">
      <w:bodyDiv w:val="1"/>
      <w:marLeft w:val="0"/>
      <w:marRight w:val="0"/>
      <w:marTop w:val="0"/>
      <w:marBottom w:val="0"/>
      <w:divBdr>
        <w:top w:val="none" w:sz="0" w:space="0" w:color="auto"/>
        <w:left w:val="none" w:sz="0" w:space="0" w:color="auto"/>
        <w:bottom w:val="none" w:sz="0" w:space="0" w:color="auto"/>
        <w:right w:val="none" w:sz="0" w:space="0" w:color="auto"/>
      </w:divBdr>
    </w:div>
    <w:div w:id="562184021">
      <w:bodyDiv w:val="1"/>
      <w:marLeft w:val="0"/>
      <w:marRight w:val="0"/>
      <w:marTop w:val="0"/>
      <w:marBottom w:val="0"/>
      <w:divBdr>
        <w:top w:val="none" w:sz="0" w:space="0" w:color="auto"/>
        <w:left w:val="none" w:sz="0" w:space="0" w:color="auto"/>
        <w:bottom w:val="none" w:sz="0" w:space="0" w:color="auto"/>
        <w:right w:val="none" w:sz="0" w:space="0" w:color="auto"/>
      </w:divBdr>
    </w:div>
    <w:div w:id="1166281201">
      <w:bodyDiv w:val="1"/>
      <w:marLeft w:val="0"/>
      <w:marRight w:val="0"/>
      <w:marTop w:val="0"/>
      <w:marBottom w:val="0"/>
      <w:divBdr>
        <w:top w:val="none" w:sz="0" w:space="0" w:color="auto"/>
        <w:left w:val="none" w:sz="0" w:space="0" w:color="auto"/>
        <w:bottom w:val="none" w:sz="0" w:space="0" w:color="auto"/>
        <w:right w:val="none" w:sz="0" w:space="0" w:color="auto"/>
      </w:divBdr>
    </w:div>
    <w:div w:id="1322932798">
      <w:bodyDiv w:val="1"/>
      <w:marLeft w:val="0"/>
      <w:marRight w:val="0"/>
      <w:marTop w:val="0"/>
      <w:marBottom w:val="0"/>
      <w:divBdr>
        <w:top w:val="none" w:sz="0" w:space="0" w:color="auto"/>
        <w:left w:val="none" w:sz="0" w:space="0" w:color="auto"/>
        <w:bottom w:val="none" w:sz="0" w:space="0" w:color="auto"/>
        <w:right w:val="none" w:sz="0" w:space="0" w:color="auto"/>
      </w:divBdr>
    </w:div>
    <w:div w:id="1597208453">
      <w:bodyDiv w:val="1"/>
      <w:marLeft w:val="0"/>
      <w:marRight w:val="0"/>
      <w:marTop w:val="0"/>
      <w:marBottom w:val="0"/>
      <w:divBdr>
        <w:top w:val="none" w:sz="0" w:space="0" w:color="auto"/>
        <w:left w:val="none" w:sz="0" w:space="0" w:color="auto"/>
        <w:bottom w:val="none" w:sz="0" w:space="0" w:color="auto"/>
        <w:right w:val="none" w:sz="0" w:space="0" w:color="auto"/>
      </w:divBdr>
    </w:div>
    <w:div w:id="18651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Rowings\AppData\Local\Microsoft\Windows\Temporary%20Internet%20Files\Content.MSO\E02A295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E02A295B</Template>
  <TotalTime>0</TotalTime>
  <Pages>2</Pages>
  <Words>2757</Words>
  <Characters>14295</Characters>
  <Application>Microsoft Office Word</Application>
  <DocSecurity>0</DocSecurity>
  <Lines>250</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2014-07-23T17:41:00Z</dcterms:created>
  <dcterms:modified xsi:type="dcterms:W3CDTF">2014-07-23T17:41:00Z</dcterms:modified>
  <cp:category> </cp:category>
  <cp:contentStatus> </cp:contentStatus>
</cp:coreProperties>
</file>