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DDD" w:rsidRPr="00EA24FF" w:rsidRDefault="00EA24FF" w:rsidP="00672DDD">
      <w:pPr>
        <w:rPr>
          <w:b/>
          <w:szCs w:val="22"/>
        </w:rPr>
      </w:pPr>
      <w:bookmarkStart w:id="0" w:name="_GoBack"/>
      <w:bookmarkEnd w:id="0"/>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b/>
          <w:szCs w:val="22"/>
        </w:rPr>
        <w:t xml:space="preserve">DA </w:t>
      </w:r>
      <w:r w:rsidR="00004E7D" w:rsidRPr="00004E7D">
        <w:rPr>
          <w:b/>
          <w:szCs w:val="22"/>
        </w:rPr>
        <w:t>13-860</w:t>
      </w:r>
    </w:p>
    <w:p w:rsidR="00BB204B" w:rsidRPr="00BB204B" w:rsidRDefault="00BB204B" w:rsidP="00BB204B">
      <w:pPr>
        <w:rPr>
          <w:i/>
          <w:szCs w:val="22"/>
        </w:rPr>
      </w:pPr>
      <w:r>
        <w:rPr>
          <w:i/>
          <w:szCs w:val="22"/>
        </w:rPr>
        <w:tab/>
      </w:r>
      <w:r>
        <w:rPr>
          <w:i/>
          <w:szCs w:val="22"/>
        </w:rPr>
        <w:tab/>
      </w:r>
      <w:r>
        <w:rPr>
          <w:i/>
          <w:szCs w:val="22"/>
        </w:rPr>
        <w:tab/>
      </w:r>
      <w:r>
        <w:rPr>
          <w:i/>
          <w:szCs w:val="22"/>
        </w:rPr>
        <w:tab/>
      </w:r>
      <w:r>
        <w:rPr>
          <w:i/>
          <w:szCs w:val="22"/>
        </w:rPr>
        <w:tab/>
      </w:r>
      <w:r>
        <w:rPr>
          <w:i/>
          <w:szCs w:val="22"/>
        </w:rPr>
        <w:tab/>
      </w:r>
      <w:r>
        <w:rPr>
          <w:i/>
          <w:szCs w:val="22"/>
        </w:rPr>
        <w:tab/>
      </w:r>
      <w:r>
        <w:rPr>
          <w:i/>
          <w:szCs w:val="22"/>
        </w:rPr>
        <w:tab/>
      </w:r>
      <w:r>
        <w:rPr>
          <w:i/>
          <w:szCs w:val="22"/>
        </w:rPr>
        <w:tab/>
      </w:r>
      <w:r w:rsidRPr="00BB204B">
        <w:rPr>
          <w:i/>
          <w:szCs w:val="22"/>
        </w:rPr>
        <w:t xml:space="preserve">In Reply Refer to:  </w:t>
      </w:r>
    </w:p>
    <w:p w:rsidR="00BB204B" w:rsidRDefault="00BB204B" w:rsidP="00BB204B">
      <w:pPr>
        <w:rPr>
          <w:szCs w:val="22"/>
        </w:rPr>
      </w:pPr>
      <w:r w:rsidRPr="00BB204B">
        <w:rPr>
          <w:b/>
          <w:i/>
          <w:szCs w:val="22"/>
        </w:rPr>
        <w:tab/>
      </w:r>
      <w:r w:rsidRPr="00BB204B">
        <w:rPr>
          <w:b/>
          <w:i/>
          <w:szCs w:val="22"/>
        </w:rPr>
        <w:tab/>
      </w:r>
      <w:r w:rsidRPr="00BB204B">
        <w:rPr>
          <w:b/>
          <w:i/>
          <w:szCs w:val="22"/>
        </w:rPr>
        <w:tab/>
      </w:r>
      <w:r w:rsidRPr="00BB204B">
        <w:rPr>
          <w:b/>
          <w:i/>
          <w:szCs w:val="22"/>
        </w:rPr>
        <w:tab/>
      </w:r>
      <w:r w:rsidRPr="00BB204B">
        <w:rPr>
          <w:b/>
          <w:i/>
          <w:szCs w:val="22"/>
        </w:rPr>
        <w:tab/>
      </w:r>
      <w:r w:rsidRPr="00BB204B">
        <w:rPr>
          <w:b/>
          <w:i/>
          <w:szCs w:val="22"/>
        </w:rPr>
        <w:tab/>
      </w:r>
      <w:r w:rsidRPr="00BB204B">
        <w:rPr>
          <w:b/>
          <w:i/>
          <w:szCs w:val="22"/>
        </w:rPr>
        <w:tab/>
      </w:r>
      <w:r w:rsidRPr="00BB204B">
        <w:rPr>
          <w:b/>
          <w:i/>
          <w:szCs w:val="22"/>
        </w:rPr>
        <w:tab/>
      </w:r>
      <w:r w:rsidRPr="00BB204B">
        <w:rPr>
          <w:b/>
          <w:i/>
          <w:szCs w:val="22"/>
        </w:rPr>
        <w:tab/>
      </w:r>
      <w:r w:rsidRPr="00BB204B">
        <w:rPr>
          <w:szCs w:val="22"/>
        </w:rPr>
        <w:t>1800B3-SS</w:t>
      </w:r>
    </w:p>
    <w:p w:rsidR="00EA24FF" w:rsidRDefault="00EA24FF" w:rsidP="00BB204B">
      <w:pPr>
        <w:rPr>
          <w:sz w:val="22"/>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 xml:space="preserve">Released:  </w:t>
      </w:r>
      <w:r w:rsidR="00BB39F5">
        <w:rPr>
          <w:szCs w:val="22"/>
        </w:rPr>
        <w:t>April 24, 2013</w:t>
      </w:r>
    </w:p>
    <w:p w:rsidR="00BB204B" w:rsidRDefault="00BB204B" w:rsidP="00BB204B">
      <w:pPr>
        <w:rPr>
          <w:sz w:val="22"/>
          <w:szCs w:val="22"/>
        </w:rPr>
      </w:pPr>
    </w:p>
    <w:p w:rsidR="005F1A71" w:rsidRDefault="005F1A71" w:rsidP="00BB204B">
      <w:pPr>
        <w:rPr>
          <w:sz w:val="22"/>
          <w:szCs w:val="22"/>
        </w:rPr>
      </w:pPr>
      <w:r>
        <w:rPr>
          <w:sz w:val="22"/>
          <w:szCs w:val="22"/>
        </w:rPr>
        <w:t>Sam-Sno Educational Media</w:t>
      </w:r>
    </w:p>
    <w:p w:rsidR="00BB204B" w:rsidRPr="00BB204B" w:rsidRDefault="005F1A71" w:rsidP="00BB204B">
      <w:pPr>
        <w:rPr>
          <w:sz w:val="22"/>
          <w:szCs w:val="22"/>
        </w:rPr>
      </w:pPr>
      <w:r>
        <w:rPr>
          <w:sz w:val="22"/>
          <w:szCs w:val="22"/>
        </w:rPr>
        <w:t xml:space="preserve">c/o Ms. </w:t>
      </w:r>
      <w:r w:rsidR="009453E2">
        <w:rPr>
          <w:sz w:val="22"/>
          <w:szCs w:val="22"/>
        </w:rPr>
        <w:t>Jennifer Diane Reitz</w:t>
      </w:r>
    </w:p>
    <w:p w:rsidR="005F1A71" w:rsidRDefault="005F1A71" w:rsidP="00BB204B">
      <w:pPr>
        <w:rPr>
          <w:sz w:val="22"/>
          <w:szCs w:val="22"/>
        </w:rPr>
      </w:pPr>
      <w:r>
        <w:rPr>
          <w:sz w:val="22"/>
          <w:szCs w:val="22"/>
        </w:rPr>
        <w:t>470 Mt. Defiance Circle, SW</w:t>
      </w:r>
    </w:p>
    <w:p w:rsidR="00BB204B" w:rsidRPr="00BB204B" w:rsidRDefault="005F1A71" w:rsidP="00BB204B">
      <w:pPr>
        <w:rPr>
          <w:sz w:val="22"/>
          <w:szCs w:val="22"/>
        </w:rPr>
      </w:pPr>
      <w:r>
        <w:rPr>
          <w:sz w:val="22"/>
          <w:szCs w:val="22"/>
        </w:rPr>
        <w:t>Issaquah, WA  98027</w:t>
      </w:r>
    </w:p>
    <w:p w:rsidR="00BB204B" w:rsidRPr="00BB204B" w:rsidRDefault="00BB204B" w:rsidP="00BB204B">
      <w:pPr>
        <w:rPr>
          <w:sz w:val="22"/>
          <w:szCs w:val="22"/>
        </w:rPr>
      </w:pPr>
    </w:p>
    <w:p w:rsidR="009453E2" w:rsidRPr="009453E2" w:rsidRDefault="00BB204B" w:rsidP="009453E2">
      <w:pPr>
        <w:rPr>
          <w:bCs/>
          <w:sz w:val="22"/>
          <w:szCs w:val="22"/>
          <w:lang w:val="es-ES"/>
        </w:rPr>
      </w:pPr>
      <w:r w:rsidRPr="00BB204B">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BB204B">
        <w:rPr>
          <w:b/>
          <w:bCs/>
          <w:sz w:val="22"/>
          <w:szCs w:val="22"/>
          <w:lang w:val="es-ES"/>
        </w:rPr>
        <w:t xml:space="preserve">In re:  </w:t>
      </w:r>
      <w:r>
        <w:rPr>
          <w:b/>
          <w:bCs/>
          <w:sz w:val="22"/>
          <w:szCs w:val="22"/>
          <w:lang w:val="es-ES"/>
        </w:rPr>
        <w:t xml:space="preserve"> </w:t>
      </w:r>
      <w:r w:rsidR="009453E2" w:rsidRPr="009453E2">
        <w:rPr>
          <w:b/>
          <w:bCs/>
          <w:sz w:val="22"/>
          <w:szCs w:val="22"/>
          <w:lang w:val="es-ES"/>
        </w:rPr>
        <w:t xml:space="preserve">NEW FM TRANSLATOR STATION, </w:t>
      </w:r>
      <w:r w:rsidR="009453E2" w:rsidRPr="009453E2">
        <w:rPr>
          <w:b/>
          <w:bCs/>
          <w:sz w:val="22"/>
          <w:szCs w:val="22"/>
          <w:lang w:val="es-ES"/>
        </w:rPr>
        <w:tab/>
      </w:r>
      <w:r w:rsidR="009453E2" w:rsidRPr="009453E2">
        <w:rPr>
          <w:b/>
          <w:bCs/>
          <w:sz w:val="22"/>
          <w:szCs w:val="22"/>
          <w:lang w:val="es-ES"/>
        </w:rPr>
        <w:tab/>
      </w:r>
      <w:r w:rsidR="009453E2" w:rsidRPr="009453E2">
        <w:rPr>
          <w:b/>
          <w:bCs/>
          <w:sz w:val="22"/>
          <w:szCs w:val="22"/>
          <w:lang w:val="es-ES"/>
        </w:rPr>
        <w:tab/>
      </w:r>
      <w:r w:rsidR="009453E2" w:rsidRPr="009453E2">
        <w:rPr>
          <w:b/>
          <w:bCs/>
          <w:sz w:val="22"/>
          <w:szCs w:val="22"/>
          <w:lang w:val="es-ES"/>
        </w:rPr>
        <w:tab/>
      </w:r>
      <w:r w:rsidR="009453E2" w:rsidRPr="009453E2">
        <w:rPr>
          <w:b/>
          <w:bCs/>
          <w:sz w:val="22"/>
          <w:szCs w:val="22"/>
          <w:lang w:val="es-ES"/>
        </w:rPr>
        <w:tab/>
      </w:r>
      <w:r w:rsidR="009453E2" w:rsidRPr="009453E2">
        <w:rPr>
          <w:b/>
          <w:bCs/>
          <w:sz w:val="22"/>
          <w:szCs w:val="22"/>
          <w:lang w:val="es-ES"/>
        </w:rPr>
        <w:tab/>
      </w:r>
      <w:r w:rsidR="009453E2" w:rsidRPr="009453E2">
        <w:rPr>
          <w:b/>
          <w:bCs/>
          <w:sz w:val="22"/>
          <w:szCs w:val="22"/>
          <w:lang w:val="es-ES"/>
        </w:rPr>
        <w:tab/>
      </w:r>
      <w:r w:rsidR="009453E2" w:rsidRPr="009453E2">
        <w:rPr>
          <w:b/>
          <w:bCs/>
          <w:sz w:val="22"/>
          <w:szCs w:val="22"/>
          <w:lang w:val="es-ES"/>
        </w:rPr>
        <w:tab/>
        <w:t>McCleary, WA</w:t>
      </w:r>
      <w:r w:rsidR="009453E2" w:rsidRPr="009453E2">
        <w:rPr>
          <w:b/>
          <w:bCs/>
          <w:sz w:val="22"/>
          <w:szCs w:val="22"/>
          <w:lang w:val="es-ES"/>
        </w:rPr>
        <w:tab/>
      </w:r>
    </w:p>
    <w:p w:rsidR="009453E2" w:rsidRPr="009453E2" w:rsidRDefault="009453E2" w:rsidP="009453E2">
      <w:pPr>
        <w:rPr>
          <w:bCs/>
          <w:sz w:val="22"/>
          <w:szCs w:val="22"/>
          <w:lang w:val="es-ES"/>
        </w:rPr>
      </w:pPr>
      <w:r w:rsidRPr="009453E2">
        <w:rPr>
          <w:bCs/>
          <w:sz w:val="22"/>
          <w:szCs w:val="22"/>
          <w:lang w:val="es-ES"/>
        </w:rPr>
        <w:tab/>
      </w:r>
      <w:r w:rsidRPr="009453E2">
        <w:rPr>
          <w:bCs/>
          <w:sz w:val="22"/>
          <w:szCs w:val="22"/>
          <w:lang w:val="es-ES"/>
        </w:rPr>
        <w:tab/>
      </w:r>
      <w:r w:rsidRPr="009453E2">
        <w:rPr>
          <w:bCs/>
          <w:sz w:val="22"/>
          <w:szCs w:val="22"/>
          <w:lang w:val="es-ES"/>
        </w:rPr>
        <w:tab/>
      </w:r>
      <w:r w:rsidRPr="009453E2">
        <w:rPr>
          <w:bCs/>
          <w:sz w:val="22"/>
          <w:szCs w:val="22"/>
          <w:lang w:val="es-ES"/>
        </w:rPr>
        <w:tab/>
      </w:r>
      <w:r w:rsidRPr="009453E2">
        <w:rPr>
          <w:bCs/>
          <w:sz w:val="22"/>
          <w:szCs w:val="22"/>
          <w:lang w:val="es-ES"/>
        </w:rPr>
        <w:tab/>
      </w:r>
      <w:r w:rsidRPr="009453E2">
        <w:rPr>
          <w:bCs/>
          <w:sz w:val="22"/>
          <w:szCs w:val="22"/>
          <w:lang w:val="es-ES"/>
        </w:rPr>
        <w:tab/>
      </w:r>
      <w:r w:rsidRPr="009453E2">
        <w:rPr>
          <w:bCs/>
          <w:sz w:val="22"/>
          <w:szCs w:val="22"/>
          <w:lang w:val="es-ES"/>
        </w:rPr>
        <w:tab/>
        <w:t>Facility ID No. 144097</w:t>
      </w:r>
    </w:p>
    <w:p w:rsidR="009453E2" w:rsidRDefault="009453E2" w:rsidP="00BB204B">
      <w:pPr>
        <w:rPr>
          <w:b/>
          <w:bCs/>
          <w:sz w:val="22"/>
          <w:szCs w:val="22"/>
          <w:lang w:val="es-ES"/>
        </w:rPr>
      </w:pPr>
      <w:r w:rsidRPr="009453E2">
        <w:rPr>
          <w:bCs/>
          <w:sz w:val="22"/>
          <w:szCs w:val="22"/>
          <w:lang w:val="es-ES"/>
        </w:rPr>
        <w:tab/>
      </w:r>
      <w:r w:rsidRPr="009453E2">
        <w:rPr>
          <w:bCs/>
          <w:sz w:val="22"/>
          <w:szCs w:val="22"/>
          <w:lang w:val="es-ES"/>
        </w:rPr>
        <w:tab/>
      </w:r>
      <w:r w:rsidRPr="009453E2">
        <w:rPr>
          <w:bCs/>
          <w:sz w:val="22"/>
          <w:szCs w:val="22"/>
          <w:lang w:val="es-ES"/>
        </w:rPr>
        <w:tab/>
      </w:r>
      <w:r w:rsidRPr="009453E2">
        <w:rPr>
          <w:bCs/>
          <w:sz w:val="22"/>
          <w:szCs w:val="22"/>
          <w:lang w:val="es-ES"/>
        </w:rPr>
        <w:tab/>
      </w:r>
      <w:r w:rsidRPr="009453E2">
        <w:rPr>
          <w:bCs/>
          <w:sz w:val="22"/>
          <w:szCs w:val="22"/>
          <w:lang w:val="es-ES"/>
        </w:rPr>
        <w:tab/>
      </w:r>
      <w:r w:rsidRPr="009453E2">
        <w:rPr>
          <w:bCs/>
          <w:sz w:val="22"/>
          <w:szCs w:val="22"/>
          <w:lang w:val="es-ES"/>
        </w:rPr>
        <w:tab/>
      </w:r>
      <w:r w:rsidRPr="009453E2">
        <w:rPr>
          <w:bCs/>
          <w:sz w:val="22"/>
          <w:szCs w:val="22"/>
          <w:lang w:val="es-ES"/>
        </w:rPr>
        <w:tab/>
        <w:t>File No. BNPFT-20030312BEX</w:t>
      </w:r>
      <w:r w:rsidRPr="009453E2">
        <w:rPr>
          <w:bCs/>
          <w:sz w:val="22"/>
          <w:szCs w:val="22"/>
          <w:lang w:val="es-ES"/>
        </w:rPr>
        <w:tab/>
      </w:r>
    </w:p>
    <w:p w:rsidR="009453E2" w:rsidRDefault="009453E2" w:rsidP="00BB204B">
      <w:pPr>
        <w:rPr>
          <w:b/>
          <w:bCs/>
          <w:sz w:val="22"/>
          <w:szCs w:val="22"/>
          <w:lang w:val="es-ES"/>
        </w:rPr>
      </w:pPr>
    </w:p>
    <w:p w:rsidR="005F1A71" w:rsidRDefault="009453E2" w:rsidP="00BB204B">
      <w:pPr>
        <w:rPr>
          <w:b/>
          <w:bCs/>
          <w:sz w:val="22"/>
          <w:szCs w:val="22"/>
          <w:lang w:val="es-ES"/>
        </w:rPr>
      </w:pPr>
      <w:r>
        <w:rPr>
          <w:b/>
          <w:bCs/>
          <w:sz w:val="22"/>
          <w:szCs w:val="22"/>
          <w:lang w:val="es-ES"/>
        </w:rPr>
        <w:tab/>
      </w:r>
      <w:r>
        <w:rPr>
          <w:b/>
          <w:bCs/>
          <w:sz w:val="22"/>
          <w:szCs w:val="22"/>
          <w:lang w:val="es-ES"/>
        </w:rPr>
        <w:tab/>
      </w:r>
      <w:r>
        <w:rPr>
          <w:b/>
          <w:bCs/>
          <w:sz w:val="22"/>
          <w:szCs w:val="22"/>
          <w:lang w:val="es-ES"/>
        </w:rPr>
        <w:tab/>
      </w:r>
      <w:r>
        <w:rPr>
          <w:b/>
          <w:bCs/>
          <w:sz w:val="22"/>
          <w:szCs w:val="22"/>
          <w:lang w:val="es-ES"/>
        </w:rPr>
        <w:tab/>
      </w:r>
      <w:r>
        <w:rPr>
          <w:b/>
          <w:bCs/>
          <w:sz w:val="22"/>
          <w:szCs w:val="22"/>
          <w:lang w:val="es-ES"/>
        </w:rPr>
        <w:tab/>
      </w:r>
      <w:r>
        <w:rPr>
          <w:b/>
          <w:bCs/>
          <w:sz w:val="22"/>
          <w:szCs w:val="22"/>
          <w:lang w:val="es-ES"/>
        </w:rPr>
        <w:tab/>
      </w:r>
      <w:r>
        <w:rPr>
          <w:b/>
          <w:bCs/>
          <w:sz w:val="22"/>
          <w:szCs w:val="22"/>
          <w:lang w:val="es-ES"/>
        </w:rPr>
        <w:tab/>
      </w:r>
      <w:r w:rsidR="005F1A71">
        <w:rPr>
          <w:b/>
          <w:bCs/>
          <w:sz w:val="22"/>
          <w:szCs w:val="22"/>
          <w:lang w:val="es-ES"/>
        </w:rPr>
        <w:t xml:space="preserve">NEW FM TRANSLATOR STATION, </w:t>
      </w:r>
    </w:p>
    <w:p w:rsidR="00BB204B" w:rsidRPr="00BB204B" w:rsidRDefault="005F1A71" w:rsidP="00197B0B">
      <w:pPr>
        <w:rPr>
          <w:b/>
          <w:bCs/>
          <w:sz w:val="22"/>
          <w:szCs w:val="22"/>
          <w:lang w:val="es-ES"/>
        </w:rPr>
      </w:pPr>
      <w:r>
        <w:rPr>
          <w:b/>
          <w:bCs/>
          <w:sz w:val="22"/>
          <w:szCs w:val="22"/>
          <w:lang w:val="es-ES"/>
        </w:rPr>
        <w:tab/>
      </w:r>
      <w:r>
        <w:rPr>
          <w:b/>
          <w:bCs/>
          <w:sz w:val="22"/>
          <w:szCs w:val="22"/>
          <w:lang w:val="es-ES"/>
        </w:rPr>
        <w:tab/>
      </w:r>
      <w:r>
        <w:rPr>
          <w:b/>
          <w:bCs/>
          <w:sz w:val="22"/>
          <w:szCs w:val="22"/>
          <w:lang w:val="es-ES"/>
        </w:rPr>
        <w:tab/>
      </w:r>
      <w:r>
        <w:rPr>
          <w:b/>
          <w:bCs/>
          <w:sz w:val="22"/>
          <w:szCs w:val="22"/>
          <w:lang w:val="es-ES"/>
        </w:rPr>
        <w:tab/>
      </w:r>
      <w:r>
        <w:rPr>
          <w:b/>
          <w:bCs/>
          <w:sz w:val="22"/>
          <w:szCs w:val="22"/>
          <w:lang w:val="es-ES"/>
        </w:rPr>
        <w:tab/>
      </w:r>
      <w:r>
        <w:rPr>
          <w:b/>
          <w:bCs/>
          <w:sz w:val="22"/>
          <w:szCs w:val="22"/>
          <w:lang w:val="es-ES"/>
        </w:rPr>
        <w:tab/>
      </w:r>
      <w:r>
        <w:rPr>
          <w:b/>
          <w:bCs/>
          <w:sz w:val="22"/>
          <w:szCs w:val="22"/>
          <w:lang w:val="es-ES"/>
        </w:rPr>
        <w:tab/>
        <w:t>North</w:t>
      </w:r>
      <w:r w:rsidR="00197B0B">
        <w:rPr>
          <w:b/>
          <w:bCs/>
          <w:sz w:val="22"/>
          <w:szCs w:val="22"/>
          <w:lang w:val="es-ES"/>
        </w:rPr>
        <w:t xml:space="preserve"> </w:t>
      </w:r>
      <w:r>
        <w:rPr>
          <w:b/>
          <w:bCs/>
          <w:sz w:val="22"/>
          <w:szCs w:val="22"/>
          <w:lang w:val="es-ES"/>
        </w:rPr>
        <w:t>Olympia, WA</w:t>
      </w:r>
    </w:p>
    <w:p w:rsidR="00BB204B" w:rsidRPr="00BB204B" w:rsidRDefault="00BB204B" w:rsidP="00BB204B">
      <w:pPr>
        <w:rPr>
          <w:bCs/>
          <w:sz w:val="22"/>
          <w:szCs w:val="22"/>
          <w:lang w:val="es-ES"/>
        </w:rPr>
      </w:pPr>
      <w:r w:rsidRPr="00BB204B">
        <w:rPr>
          <w:b/>
          <w:bCs/>
          <w:sz w:val="22"/>
          <w:szCs w:val="22"/>
          <w:lang w:val="es-ES"/>
        </w:rPr>
        <w:tab/>
      </w:r>
      <w:r w:rsidRPr="00BB204B">
        <w:rPr>
          <w:b/>
          <w:bCs/>
          <w:sz w:val="22"/>
          <w:szCs w:val="22"/>
          <w:lang w:val="es-ES"/>
        </w:rPr>
        <w:tab/>
      </w:r>
      <w:r>
        <w:rPr>
          <w:b/>
          <w:bCs/>
          <w:sz w:val="22"/>
          <w:szCs w:val="22"/>
          <w:lang w:val="es-ES"/>
        </w:rPr>
        <w:tab/>
      </w:r>
      <w:r>
        <w:rPr>
          <w:b/>
          <w:bCs/>
          <w:sz w:val="22"/>
          <w:szCs w:val="22"/>
          <w:lang w:val="es-ES"/>
        </w:rPr>
        <w:tab/>
      </w:r>
      <w:r>
        <w:rPr>
          <w:b/>
          <w:bCs/>
          <w:sz w:val="22"/>
          <w:szCs w:val="22"/>
          <w:lang w:val="es-ES"/>
        </w:rPr>
        <w:tab/>
      </w:r>
      <w:r>
        <w:rPr>
          <w:b/>
          <w:bCs/>
          <w:sz w:val="22"/>
          <w:szCs w:val="22"/>
          <w:lang w:val="es-ES"/>
        </w:rPr>
        <w:tab/>
      </w:r>
      <w:r>
        <w:rPr>
          <w:b/>
          <w:bCs/>
          <w:sz w:val="22"/>
          <w:szCs w:val="22"/>
          <w:lang w:val="es-ES"/>
        </w:rPr>
        <w:tab/>
      </w:r>
      <w:r w:rsidRPr="00BB204B">
        <w:rPr>
          <w:bCs/>
          <w:sz w:val="22"/>
          <w:szCs w:val="22"/>
          <w:lang w:val="es-ES"/>
        </w:rPr>
        <w:t xml:space="preserve">Facility ID No. </w:t>
      </w:r>
      <w:r w:rsidR="00197B0B">
        <w:rPr>
          <w:bCs/>
          <w:sz w:val="22"/>
          <w:szCs w:val="22"/>
          <w:lang w:val="es-ES"/>
        </w:rPr>
        <w:t>149094</w:t>
      </w:r>
    </w:p>
    <w:p w:rsidR="00BB204B" w:rsidRDefault="00BB204B" w:rsidP="00BB204B">
      <w:pPr>
        <w:rPr>
          <w:bCs/>
          <w:sz w:val="22"/>
          <w:szCs w:val="22"/>
          <w:lang w:val="es-ES"/>
        </w:rPr>
      </w:pPr>
      <w:r w:rsidRPr="00BB204B">
        <w:rPr>
          <w:bCs/>
          <w:sz w:val="22"/>
          <w:szCs w:val="22"/>
          <w:lang w:val="es-ES"/>
        </w:rPr>
        <w:tab/>
      </w:r>
      <w:r w:rsidRPr="00BB204B">
        <w:rPr>
          <w:bCs/>
          <w:sz w:val="22"/>
          <w:szCs w:val="22"/>
          <w:lang w:val="es-ES"/>
        </w:rPr>
        <w:tab/>
      </w:r>
      <w:r>
        <w:rPr>
          <w:bCs/>
          <w:sz w:val="22"/>
          <w:szCs w:val="22"/>
          <w:lang w:val="es-ES"/>
        </w:rPr>
        <w:tab/>
      </w:r>
      <w:r>
        <w:rPr>
          <w:bCs/>
          <w:sz w:val="22"/>
          <w:szCs w:val="22"/>
          <w:lang w:val="es-ES"/>
        </w:rPr>
        <w:tab/>
      </w:r>
      <w:r>
        <w:rPr>
          <w:bCs/>
          <w:sz w:val="22"/>
          <w:szCs w:val="22"/>
          <w:lang w:val="es-ES"/>
        </w:rPr>
        <w:tab/>
      </w:r>
      <w:r>
        <w:rPr>
          <w:bCs/>
          <w:sz w:val="22"/>
          <w:szCs w:val="22"/>
          <w:lang w:val="es-ES"/>
        </w:rPr>
        <w:tab/>
      </w:r>
      <w:r>
        <w:rPr>
          <w:bCs/>
          <w:sz w:val="22"/>
          <w:szCs w:val="22"/>
          <w:lang w:val="es-ES"/>
        </w:rPr>
        <w:tab/>
      </w:r>
      <w:r w:rsidRPr="00BB204B">
        <w:rPr>
          <w:bCs/>
          <w:sz w:val="22"/>
          <w:szCs w:val="22"/>
          <w:lang w:val="es-ES"/>
        </w:rPr>
        <w:t xml:space="preserve">File No. </w:t>
      </w:r>
      <w:r w:rsidR="00197B0B">
        <w:rPr>
          <w:bCs/>
          <w:sz w:val="22"/>
          <w:szCs w:val="22"/>
          <w:lang w:val="es-ES"/>
        </w:rPr>
        <w:t>BNPFT</w:t>
      </w:r>
      <w:r w:rsidRPr="00BB204B">
        <w:rPr>
          <w:bCs/>
          <w:sz w:val="22"/>
          <w:szCs w:val="22"/>
          <w:lang w:val="es-ES"/>
        </w:rPr>
        <w:t>-20</w:t>
      </w:r>
      <w:r w:rsidR="00197B0B">
        <w:rPr>
          <w:bCs/>
          <w:sz w:val="22"/>
          <w:szCs w:val="22"/>
          <w:lang w:val="es-ES"/>
        </w:rPr>
        <w:t>030314CJX</w:t>
      </w:r>
    </w:p>
    <w:p w:rsidR="00BB204B" w:rsidRPr="00BB204B" w:rsidRDefault="00BB204B" w:rsidP="00BB204B">
      <w:pPr>
        <w:rPr>
          <w:sz w:val="22"/>
          <w:szCs w:val="22"/>
        </w:rPr>
      </w:pPr>
    </w:p>
    <w:p w:rsidR="00FD37E6" w:rsidRPr="006872A5" w:rsidRDefault="00BB204B" w:rsidP="00FD37E6">
      <w:pPr>
        <w:rPr>
          <w:b/>
          <w:sz w:val="22"/>
          <w:szCs w:val="22"/>
        </w:rPr>
      </w:pPr>
      <w:r w:rsidRPr="00BB204B">
        <w:rPr>
          <w:sz w:val="22"/>
          <w:szCs w:val="22"/>
        </w:rPr>
        <w:tab/>
      </w:r>
      <w:r w:rsidRPr="00BB204B">
        <w:rPr>
          <w:sz w:val="22"/>
          <w:szCs w:val="22"/>
        </w:rPr>
        <w:tab/>
      </w:r>
      <w:r>
        <w:rPr>
          <w:sz w:val="22"/>
          <w:szCs w:val="22"/>
        </w:rPr>
        <w:tab/>
      </w:r>
      <w:r>
        <w:rPr>
          <w:sz w:val="22"/>
          <w:szCs w:val="22"/>
        </w:rPr>
        <w:tab/>
      </w:r>
      <w:r>
        <w:rPr>
          <w:sz w:val="22"/>
          <w:szCs w:val="22"/>
        </w:rPr>
        <w:tab/>
      </w:r>
      <w:r>
        <w:rPr>
          <w:sz w:val="22"/>
          <w:szCs w:val="22"/>
        </w:rPr>
        <w:tab/>
      </w:r>
      <w:r>
        <w:rPr>
          <w:sz w:val="22"/>
          <w:szCs w:val="22"/>
        </w:rPr>
        <w:tab/>
      </w:r>
      <w:r w:rsidR="00FE5E61" w:rsidRPr="006872A5">
        <w:rPr>
          <w:b/>
          <w:sz w:val="22"/>
          <w:szCs w:val="22"/>
        </w:rPr>
        <w:t>Request</w:t>
      </w:r>
      <w:r w:rsidR="0056462E" w:rsidRPr="006872A5">
        <w:rPr>
          <w:b/>
          <w:sz w:val="22"/>
          <w:szCs w:val="22"/>
        </w:rPr>
        <w:t xml:space="preserve"> for Waiver </w:t>
      </w:r>
    </w:p>
    <w:p w:rsidR="00BB204B" w:rsidRPr="00BB204B" w:rsidRDefault="00BB204B" w:rsidP="00BB204B">
      <w:pPr>
        <w:rPr>
          <w:sz w:val="22"/>
          <w:szCs w:val="22"/>
        </w:rPr>
      </w:pPr>
    </w:p>
    <w:p w:rsidR="00BB204B" w:rsidRDefault="00BB204B" w:rsidP="00BB204B">
      <w:pPr>
        <w:rPr>
          <w:sz w:val="22"/>
          <w:szCs w:val="22"/>
        </w:rPr>
      </w:pPr>
      <w:r w:rsidRPr="00BB204B">
        <w:rPr>
          <w:sz w:val="22"/>
          <w:szCs w:val="22"/>
        </w:rPr>
        <w:t>Dear M</w:t>
      </w:r>
      <w:r w:rsidR="000119BB">
        <w:rPr>
          <w:sz w:val="22"/>
          <w:szCs w:val="22"/>
        </w:rPr>
        <w:t>s</w:t>
      </w:r>
      <w:r w:rsidRPr="00BB204B">
        <w:rPr>
          <w:sz w:val="22"/>
          <w:szCs w:val="22"/>
        </w:rPr>
        <w:t xml:space="preserve">. </w:t>
      </w:r>
      <w:r w:rsidR="009453E2">
        <w:rPr>
          <w:sz w:val="22"/>
          <w:szCs w:val="22"/>
        </w:rPr>
        <w:t>Reitz</w:t>
      </w:r>
      <w:r w:rsidRPr="00BB204B">
        <w:rPr>
          <w:sz w:val="22"/>
          <w:szCs w:val="22"/>
        </w:rPr>
        <w:t>:</w:t>
      </w:r>
    </w:p>
    <w:p w:rsidR="00197B0B" w:rsidRPr="00BB204B" w:rsidRDefault="00197B0B" w:rsidP="00BB204B">
      <w:pPr>
        <w:rPr>
          <w:sz w:val="22"/>
          <w:szCs w:val="22"/>
        </w:rPr>
      </w:pPr>
    </w:p>
    <w:p w:rsidR="00BB204B" w:rsidRPr="00BB204B" w:rsidRDefault="00BB204B" w:rsidP="00BB204B">
      <w:pPr>
        <w:rPr>
          <w:sz w:val="22"/>
          <w:szCs w:val="22"/>
        </w:rPr>
      </w:pPr>
      <w:r w:rsidRPr="00BB204B">
        <w:rPr>
          <w:sz w:val="22"/>
          <w:szCs w:val="22"/>
        </w:rPr>
        <w:tab/>
        <w:t xml:space="preserve">This letter concerns:  (1) the </w:t>
      </w:r>
      <w:r w:rsidR="009453E2">
        <w:rPr>
          <w:sz w:val="22"/>
          <w:szCs w:val="22"/>
        </w:rPr>
        <w:t>March 12</w:t>
      </w:r>
      <w:r w:rsidR="005D27F0">
        <w:rPr>
          <w:sz w:val="22"/>
          <w:szCs w:val="22"/>
        </w:rPr>
        <w:t xml:space="preserve"> and 14</w:t>
      </w:r>
      <w:r w:rsidR="009453E2">
        <w:rPr>
          <w:sz w:val="22"/>
          <w:szCs w:val="22"/>
        </w:rPr>
        <w:t>, 2003</w:t>
      </w:r>
      <w:r w:rsidRPr="00BB204B">
        <w:rPr>
          <w:sz w:val="22"/>
          <w:szCs w:val="22"/>
        </w:rPr>
        <w:t>, application</w:t>
      </w:r>
      <w:r w:rsidR="005D27F0">
        <w:rPr>
          <w:sz w:val="22"/>
          <w:szCs w:val="22"/>
        </w:rPr>
        <w:t>s</w:t>
      </w:r>
      <w:r w:rsidRPr="00BB204B">
        <w:rPr>
          <w:sz w:val="22"/>
          <w:szCs w:val="22"/>
        </w:rPr>
        <w:t xml:space="preserve"> (“</w:t>
      </w:r>
      <w:r w:rsidR="009453E2">
        <w:rPr>
          <w:sz w:val="22"/>
          <w:szCs w:val="22"/>
        </w:rPr>
        <w:t xml:space="preserve">McCleary </w:t>
      </w:r>
      <w:r w:rsidRPr="00BB204B">
        <w:rPr>
          <w:sz w:val="22"/>
          <w:szCs w:val="22"/>
        </w:rPr>
        <w:t>Application”</w:t>
      </w:r>
      <w:r w:rsidR="005D27F0">
        <w:rPr>
          <w:sz w:val="22"/>
          <w:szCs w:val="22"/>
        </w:rPr>
        <w:t xml:space="preserve"> and “North Olympia Application,” respectively</w:t>
      </w:r>
      <w:r w:rsidRPr="00BB204B">
        <w:rPr>
          <w:sz w:val="22"/>
          <w:szCs w:val="22"/>
        </w:rPr>
        <w:t xml:space="preserve">) filed by </w:t>
      </w:r>
      <w:r w:rsidR="009453E2">
        <w:rPr>
          <w:sz w:val="22"/>
          <w:szCs w:val="22"/>
        </w:rPr>
        <w:t xml:space="preserve">Sam-Sno Educational Media </w:t>
      </w:r>
      <w:r w:rsidRPr="00BB204B">
        <w:rPr>
          <w:sz w:val="22"/>
          <w:szCs w:val="22"/>
        </w:rPr>
        <w:t>(“</w:t>
      </w:r>
      <w:r w:rsidR="009453E2">
        <w:rPr>
          <w:sz w:val="22"/>
          <w:szCs w:val="22"/>
        </w:rPr>
        <w:t>Sam-Sno</w:t>
      </w:r>
      <w:r w:rsidRPr="00BB204B">
        <w:rPr>
          <w:sz w:val="22"/>
          <w:szCs w:val="22"/>
        </w:rPr>
        <w:t xml:space="preserve">”) </w:t>
      </w:r>
      <w:r w:rsidR="009453E2">
        <w:rPr>
          <w:sz w:val="22"/>
          <w:szCs w:val="22"/>
        </w:rPr>
        <w:t>for construction permit</w:t>
      </w:r>
      <w:r w:rsidR="005D27F0">
        <w:rPr>
          <w:sz w:val="22"/>
          <w:szCs w:val="22"/>
        </w:rPr>
        <w:t>s</w:t>
      </w:r>
      <w:r w:rsidR="009453E2">
        <w:rPr>
          <w:sz w:val="22"/>
          <w:szCs w:val="22"/>
        </w:rPr>
        <w:t xml:space="preserve"> for new FM Translator Station</w:t>
      </w:r>
      <w:r w:rsidR="005D27F0">
        <w:rPr>
          <w:sz w:val="22"/>
          <w:szCs w:val="22"/>
        </w:rPr>
        <w:t>s</w:t>
      </w:r>
      <w:r w:rsidR="009453E2">
        <w:rPr>
          <w:sz w:val="22"/>
          <w:szCs w:val="22"/>
        </w:rPr>
        <w:t xml:space="preserve"> at McCleary</w:t>
      </w:r>
      <w:r w:rsidR="005D27F0">
        <w:rPr>
          <w:sz w:val="22"/>
          <w:szCs w:val="22"/>
        </w:rPr>
        <w:t xml:space="preserve"> and North Olympia</w:t>
      </w:r>
      <w:r w:rsidR="009453E2">
        <w:rPr>
          <w:sz w:val="22"/>
          <w:szCs w:val="22"/>
        </w:rPr>
        <w:t>,</w:t>
      </w:r>
      <w:r w:rsidR="005D27F0">
        <w:rPr>
          <w:sz w:val="22"/>
          <w:szCs w:val="22"/>
        </w:rPr>
        <w:t xml:space="preserve"> </w:t>
      </w:r>
      <w:r w:rsidR="009453E2">
        <w:rPr>
          <w:sz w:val="22"/>
          <w:szCs w:val="22"/>
        </w:rPr>
        <w:t>Washington</w:t>
      </w:r>
      <w:r w:rsidRPr="00BB204B">
        <w:rPr>
          <w:sz w:val="22"/>
          <w:szCs w:val="22"/>
        </w:rPr>
        <w:t>;</w:t>
      </w:r>
      <w:r w:rsidR="00DA4596">
        <w:rPr>
          <w:sz w:val="22"/>
          <w:szCs w:val="22"/>
        </w:rPr>
        <w:t xml:space="preserve"> </w:t>
      </w:r>
      <w:r w:rsidR="009453E2">
        <w:rPr>
          <w:sz w:val="22"/>
          <w:szCs w:val="22"/>
        </w:rPr>
        <w:t>and (</w:t>
      </w:r>
      <w:r w:rsidR="005D27F0">
        <w:rPr>
          <w:sz w:val="22"/>
          <w:szCs w:val="22"/>
        </w:rPr>
        <w:t>2</w:t>
      </w:r>
      <w:r w:rsidR="009453E2">
        <w:rPr>
          <w:sz w:val="22"/>
          <w:szCs w:val="22"/>
        </w:rPr>
        <w:t>) Sam-Sno</w:t>
      </w:r>
      <w:r w:rsidRPr="00BB204B">
        <w:rPr>
          <w:sz w:val="22"/>
          <w:szCs w:val="22"/>
        </w:rPr>
        <w:t xml:space="preserve">’s </w:t>
      </w:r>
      <w:r w:rsidR="009453E2">
        <w:rPr>
          <w:sz w:val="22"/>
          <w:szCs w:val="22"/>
        </w:rPr>
        <w:t xml:space="preserve">January </w:t>
      </w:r>
      <w:r w:rsidR="00087C2E">
        <w:rPr>
          <w:sz w:val="22"/>
          <w:szCs w:val="22"/>
        </w:rPr>
        <w:t>10</w:t>
      </w:r>
      <w:r w:rsidR="009453E2">
        <w:rPr>
          <w:sz w:val="22"/>
          <w:szCs w:val="22"/>
        </w:rPr>
        <w:t>, 2013</w:t>
      </w:r>
      <w:r w:rsidRPr="00BB204B">
        <w:rPr>
          <w:sz w:val="22"/>
          <w:szCs w:val="22"/>
        </w:rPr>
        <w:t xml:space="preserve">, request for waiver (“Waiver Request”) of the </w:t>
      </w:r>
      <w:r w:rsidR="00D32405">
        <w:rPr>
          <w:sz w:val="22"/>
          <w:szCs w:val="22"/>
        </w:rPr>
        <w:t xml:space="preserve">provisions in </w:t>
      </w:r>
      <w:r w:rsidR="00D32405" w:rsidRPr="00D32405">
        <w:rPr>
          <w:sz w:val="22"/>
          <w:szCs w:val="22"/>
        </w:rPr>
        <w:t>the</w:t>
      </w:r>
      <w:r w:rsidR="003D53A4">
        <w:rPr>
          <w:sz w:val="22"/>
          <w:szCs w:val="22"/>
        </w:rPr>
        <w:t xml:space="preserve"> Commission’s</w:t>
      </w:r>
      <w:r w:rsidR="00D32405" w:rsidRPr="00D32405">
        <w:rPr>
          <w:i/>
          <w:sz w:val="22"/>
          <w:szCs w:val="22"/>
        </w:rPr>
        <w:t xml:space="preserve"> Fifth Order on Reconsideration</w:t>
      </w:r>
      <w:r w:rsidR="003D53A4" w:rsidRPr="003D53A4">
        <w:rPr>
          <w:sz w:val="22"/>
          <w:szCs w:val="22"/>
          <w:vertAlign w:val="superscript"/>
        </w:rPr>
        <w:footnoteReference w:id="2"/>
      </w:r>
      <w:r w:rsidR="003D53A4">
        <w:rPr>
          <w:i/>
          <w:sz w:val="22"/>
          <w:szCs w:val="22"/>
        </w:rPr>
        <w:t xml:space="preserve"> </w:t>
      </w:r>
      <w:r w:rsidR="009453E2">
        <w:rPr>
          <w:sz w:val="22"/>
          <w:szCs w:val="22"/>
        </w:rPr>
        <w:t>prohibiting contour overlap</w:t>
      </w:r>
      <w:r w:rsidR="00A8721A">
        <w:rPr>
          <w:sz w:val="22"/>
          <w:szCs w:val="22"/>
        </w:rPr>
        <w:t xml:space="preserve"> between two FM translator </w:t>
      </w:r>
      <w:r w:rsidR="003D53A4">
        <w:rPr>
          <w:sz w:val="22"/>
          <w:szCs w:val="22"/>
        </w:rPr>
        <w:t>applications filed</w:t>
      </w:r>
      <w:r w:rsidR="00FB6BE8">
        <w:rPr>
          <w:sz w:val="22"/>
          <w:szCs w:val="22"/>
        </w:rPr>
        <w:t xml:space="preserve"> by the same licensee </w:t>
      </w:r>
      <w:r w:rsidR="00A8721A">
        <w:rPr>
          <w:sz w:val="22"/>
          <w:szCs w:val="22"/>
        </w:rPr>
        <w:t>in the same market</w:t>
      </w:r>
      <w:r w:rsidR="00FE5E61">
        <w:rPr>
          <w:i/>
          <w:sz w:val="22"/>
          <w:szCs w:val="22"/>
        </w:rPr>
        <w:t>.</w:t>
      </w:r>
      <w:r w:rsidR="0056462E">
        <w:rPr>
          <w:i/>
          <w:sz w:val="22"/>
          <w:szCs w:val="22"/>
        </w:rPr>
        <w:t xml:space="preserve">  </w:t>
      </w:r>
      <w:r w:rsidRPr="00BB204B">
        <w:rPr>
          <w:sz w:val="22"/>
          <w:szCs w:val="22"/>
        </w:rPr>
        <w:t>For the reasons set forth below, we deny the Waiver Request</w:t>
      </w:r>
      <w:r w:rsidR="00D32405">
        <w:rPr>
          <w:sz w:val="22"/>
          <w:szCs w:val="22"/>
        </w:rPr>
        <w:t xml:space="preserve">, dismiss the McCleary Application, and </w:t>
      </w:r>
      <w:r w:rsidR="00D613EA">
        <w:rPr>
          <w:sz w:val="22"/>
          <w:szCs w:val="22"/>
        </w:rPr>
        <w:t xml:space="preserve">continue processing </w:t>
      </w:r>
      <w:r w:rsidR="00D32405">
        <w:rPr>
          <w:sz w:val="22"/>
          <w:szCs w:val="22"/>
        </w:rPr>
        <w:t xml:space="preserve">the North Olympia </w:t>
      </w:r>
      <w:r w:rsidR="005D27F0">
        <w:rPr>
          <w:sz w:val="22"/>
          <w:szCs w:val="22"/>
        </w:rPr>
        <w:t>Application.</w:t>
      </w:r>
      <w:r w:rsidRPr="00BB204B">
        <w:rPr>
          <w:sz w:val="22"/>
          <w:szCs w:val="22"/>
        </w:rPr>
        <w:t xml:space="preserve">  </w:t>
      </w:r>
    </w:p>
    <w:p w:rsidR="00BB204B" w:rsidRPr="00BB204B" w:rsidRDefault="00BB204B" w:rsidP="00BB204B">
      <w:pPr>
        <w:rPr>
          <w:sz w:val="22"/>
          <w:szCs w:val="22"/>
        </w:rPr>
      </w:pPr>
    </w:p>
    <w:p w:rsidR="0070370E" w:rsidRDefault="00BB204B" w:rsidP="00BB204B">
      <w:pPr>
        <w:rPr>
          <w:sz w:val="22"/>
          <w:szCs w:val="22"/>
        </w:rPr>
      </w:pPr>
      <w:r w:rsidRPr="00BB204B">
        <w:rPr>
          <w:sz w:val="22"/>
          <w:szCs w:val="22"/>
        </w:rPr>
        <w:t xml:space="preserve"> </w:t>
      </w:r>
      <w:r w:rsidRPr="00BB204B">
        <w:rPr>
          <w:sz w:val="22"/>
          <w:szCs w:val="22"/>
        </w:rPr>
        <w:tab/>
      </w:r>
      <w:r w:rsidRPr="00BB204B">
        <w:rPr>
          <w:b/>
          <w:sz w:val="22"/>
          <w:szCs w:val="22"/>
        </w:rPr>
        <w:t>Background</w:t>
      </w:r>
      <w:r w:rsidRPr="00BB204B">
        <w:rPr>
          <w:sz w:val="22"/>
          <w:szCs w:val="22"/>
        </w:rPr>
        <w:t xml:space="preserve">.  </w:t>
      </w:r>
      <w:r w:rsidR="00A8721A">
        <w:rPr>
          <w:sz w:val="22"/>
          <w:szCs w:val="22"/>
        </w:rPr>
        <w:t>The McCleary and North Olympia Applications</w:t>
      </w:r>
      <w:r w:rsidR="00E90CE2">
        <w:rPr>
          <w:sz w:val="22"/>
          <w:szCs w:val="22"/>
        </w:rPr>
        <w:t xml:space="preserve"> were</w:t>
      </w:r>
      <w:r w:rsidR="00C255F2">
        <w:rPr>
          <w:sz w:val="22"/>
          <w:szCs w:val="22"/>
        </w:rPr>
        <w:t xml:space="preserve"> filed in the </w:t>
      </w:r>
      <w:r w:rsidR="00BC5999">
        <w:rPr>
          <w:sz w:val="22"/>
          <w:szCs w:val="22"/>
        </w:rPr>
        <w:t xml:space="preserve">March </w:t>
      </w:r>
      <w:r w:rsidR="00C255F2">
        <w:rPr>
          <w:sz w:val="22"/>
          <w:szCs w:val="22"/>
        </w:rPr>
        <w:t xml:space="preserve">2003 FM non-reserved band translator </w:t>
      </w:r>
      <w:r w:rsidR="0038785F">
        <w:rPr>
          <w:sz w:val="22"/>
          <w:szCs w:val="22"/>
        </w:rPr>
        <w:t xml:space="preserve">(Auction 83) </w:t>
      </w:r>
      <w:r w:rsidR="00C255F2">
        <w:rPr>
          <w:sz w:val="22"/>
          <w:szCs w:val="22"/>
        </w:rPr>
        <w:t>filing window</w:t>
      </w:r>
      <w:r w:rsidR="00E90CE2">
        <w:rPr>
          <w:sz w:val="22"/>
          <w:szCs w:val="22"/>
        </w:rPr>
        <w:t>.</w:t>
      </w:r>
      <w:r w:rsidR="00513353">
        <w:rPr>
          <w:rStyle w:val="FootnoteReference"/>
          <w:sz w:val="22"/>
          <w:szCs w:val="22"/>
        </w:rPr>
        <w:footnoteReference w:id="3"/>
      </w:r>
      <w:r w:rsidR="00A8721A">
        <w:rPr>
          <w:sz w:val="22"/>
          <w:szCs w:val="22"/>
        </w:rPr>
        <w:t xml:space="preserve"> </w:t>
      </w:r>
      <w:r w:rsidR="00E90CE2">
        <w:rPr>
          <w:sz w:val="22"/>
          <w:szCs w:val="22"/>
        </w:rPr>
        <w:t xml:space="preserve"> B</w:t>
      </w:r>
      <w:r w:rsidR="00427189">
        <w:rPr>
          <w:sz w:val="22"/>
          <w:szCs w:val="22"/>
        </w:rPr>
        <w:t xml:space="preserve">oth </w:t>
      </w:r>
      <w:r w:rsidR="00E90CE2">
        <w:rPr>
          <w:sz w:val="22"/>
          <w:szCs w:val="22"/>
        </w:rPr>
        <w:t xml:space="preserve">are </w:t>
      </w:r>
      <w:r w:rsidR="00427189">
        <w:rPr>
          <w:sz w:val="22"/>
          <w:szCs w:val="22"/>
        </w:rPr>
        <w:t xml:space="preserve">in the </w:t>
      </w:r>
      <w:r w:rsidR="00E90CE2">
        <w:rPr>
          <w:sz w:val="22"/>
          <w:szCs w:val="22"/>
        </w:rPr>
        <w:t xml:space="preserve">“Appendix A” market of </w:t>
      </w:r>
      <w:r w:rsidR="00427189">
        <w:rPr>
          <w:sz w:val="22"/>
          <w:szCs w:val="22"/>
        </w:rPr>
        <w:t>Seattle, Washington</w:t>
      </w:r>
      <w:r w:rsidR="009971B6">
        <w:rPr>
          <w:sz w:val="22"/>
          <w:szCs w:val="22"/>
        </w:rPr>
        <w:t>,</w:t>
      </w:r>
      <w:r w:rsidR="00E90CE2">
        <w:rPr>
          <w:sz w:val="22"/>
          <w:szCs w:val="22"/>
        </w:rPr>
        <w:t xml:space="preserve"> as specified</w:t>
      </w:r>
      <w:r w:rsidR="00A8721A">
        <w:rPr>
          <w:sz w:val="22"/>
          <w:szCs w:val="22"/>
        </w:rPr>
        <w:t xml:space="preserve"> in </w:t>
      </w:r>
      <w:r w:rsidR="003B5BA6">
        <w:rPr>
          <w:sz w:val="22"/>
          <w:szCs w:val="22"/>
        </w:rPr>
        <w:t>the</w:t>
      </w:r>
      <w:r w:rsidR="00A8721A">
        <w:rPr>
          <w:i/>
          <w:sz w:val="22"/>
          <w:szCs w:val="22"/>
        </w:rPr>
        <w:t xml:space="preserve"> Fourth Report and Order</w:t>
      </w:r>
      <w:r w:rsidR="00F812FD" w:rsidRPr="00F812FD">
        <w:rPr>
          <w:rStyle w:val="FootnoteReference"/>
          <w:sz w:val="22"/>
          <w:szCs w:val="22"/>
        </w:rPr>
        <w:footnoteReference w:id="4"/>
      </w:r>
      <w:r w:rsidR="003B5BA6" w:rsidRPr="00F812FD">
        <w:rPr>
          <w:i/>
          <w:sz w:val="22"/>
          <w:szCs w:val="22"/>
        </w:rPr>
        <w:t xml:space="preserve"> </w:t>
      </w:r>
      <w:r w:rsidR="00E90CE2">
        <w:rPr>
          <w:sz w:val="22"/>
          <w:szCs w:val="22"/>
        </w:rPr>
        <w:t xml:space="preserve">in which the Commission </w:t>
      </w:r>
      <w:r w:rsidR="003B5BA6">
        <w:rPr>
          <w:sz w:val="22"/>
          <w:szCs w:val="22"/>
        </w:rPr>
        <w:t>adopt</w:t>
      </w:r>
      <w:r w:rsidR="00E90CE2">
        <w:rPr>
          <w:sz w:val="22"/>
          <w:szCs w:val="22"/>
        </w:rPr>
        <w:t>ed</w:t>
      </w:r>
      <w:r w:rsidR="003B5BA6">
        <w:rPr>
          <w:sz w:val="22"/>
          <w:szCs w:val="22"/>
        </w:rPr>
        <w:t xml:space="preserve"> market-specific FM translator application processing policies designed to effectuate the Local </w:t>
      </w:r>
      <w:r w:rsidR="003B5BA6">
        <w:rPr>
          <w:sz w:val="22"/>
          <w:szCs w:val="22"/>
        </w:rPr>
        <w:lastRenderedPageBreak/>
        <w:t>Community Radio Act</w:t>
      </w:r>
      <w:r w:rsidR="007F6823">
        <w:rPr>
          <w:sz w:val="22"/>
          <w:szCs w:val="22"/>
        </w:rPr>
        <w:t>.</w:t>
      </w:r>
      <w:r w:rsidR="00F812FD">
        <w:rPr>
          <w:rStyle w:val="FootnoteReference"/>
          <w:sz w:val="22"/>
          <w:szCs w:val="22"/>
        </w:rPr>
        <w:footnoteReference w:id="5"/>
      </w:r>
      <w:r w:rsidR="003B5BA6">
        <w:rPr>
          <w:sz w:val="22"/>
          <w:szCs w:val="22"/>
        </w:rPr>
        <w:t xml:space="preserve"> </w:t>
      </w:r>
      <w:r w:rsidR="003F2BC8">
        <w:rPr>
          <w:sz w:val="22"/>
          <w:szCs w:val="22"/>
        </w:rPr>
        <w:t xml:space="preserve"> </w:t>
      </w:r>
      <w:r w:rsidR="00513353">
        <w:rPr>
          <w:sz w:val="22"/>
          <w:szCs w:val="22"/>
        </w:rPr>
        <w:t>I</w:t>
      </w:r>
      <w:r w:rsidR="003F2BC8">
        <w:rPr>
          <w:sz w:val="22"/>
          <w:szCs w:val="22"/>
        </w:rPr>
        <w:t xml:space="preserve">n the </w:t>
      </w:r>
      <w:r w:rsidR="003F2BC8" w:rsidRPr="003F2BC8">
        <w:rPr>
          <w:i/>
          <w:sz w:val="22"/>
          <w:szCs w:val="22"/>
        </w:rPr>
        <w:t>Fifth Order on Reconsideration</w:t>
      </w:r>
      <w:r w:rsidR="003F2BC8">
        <w:rPr>
          <w:sz w:val="22"/>
          <w:szCs w:val="22"/>
        </w:rPr>
        <w:t>,</w:t>
      </w:r>
      <w:r w:rsidR="00FE5E61">
        <w:rPr>
          <w:sz w:val="22"/>
          <w:szCs w:val="22"/>
        </w:rPr>
        <w:t xml:space="preserve"> </w:t>
      </w:r>
      <w:r w:rsidR="003F2BC8">
        <w:rPr>
          <w:sz w:val="22"/>
          <w:szCs w:val="22"/>
        </w:rPr>
        <w:t>the Commission decided that</w:t>
      </w:r>
      <w:r w:rsidR="0009586C">
        <w:rPr>
          <w:sz w:val="22"/>
          <w:szCs w:val="22"/>
        </w:rPr>
        <w:t xml:space="preserve"> it would allow applicants to prosecute a maximum of three applications in</w:t>
      </w:r>
      <w:r w:rsidR="000419D5">
        <w:rPr>
          <w:sz w:val="22"/>
          <w:szCs w:val="22"/>
        </w:rPr>
        <w:t xml:space="preserve"> an </w:t>
      </w:r>
      <w:r w:rsidR="0049270C">
        <w:rPr>
          <w:sz w:val="22"/>
          <w:szCs w:val="22"/>
        </w:rPr>
        <w:t xml:space="preserve">“Appendix A” </w:t>
      </w:r>
      <w:r w:rsidR="009D6D8F">
        <w:rPr>
          <w:sz w:val="22"/>
          <w:szCs w:val="22"/>
        </w:rPr>
        <w:t>market</w:t>
      </w:r>
      <w:r w:rsidR="0009586C">
        <w:rPr>
          <w:sz w:val="22"/>
          <w:szCs w:val="22"/>
        </w:rPr>
        <w:t>, provided that</w:t>
      </w:r>
      <w:r w:rsidR="002F42FE">
        <w:rPr>
          <w:sz w:val="22"/>
          <w:szCs w:val="22"/>
        </w:rPr>
        <w:t>:  (1)</w:t>
      </w:r>
      <w:r w:rsidR="0049270C">
        <w:rPr>
          <w:sz w:val="22"/>
          <w:szCs w:val="22"/>
        </w:rPr>
        <w:t xml:space="preserve"> </w:t>
      </w:r>
      <w:r w:rsidR="003F2BC8">
        <w:rPr>
          <w:sz w:val="22"/>
          <w:szCs w:val="22"/>
        </w:rPr>
        <w:t xml:space="preserve">the </w:t>
      </w:r>
      <w:r w:rsidR="003F2BC8" w:rsidRPr="003F2BC8">
        <w:rPr>
          <w:sz w:val="22"/>
          <w:szCs w:val="22"/>
        </w:rPr>
        <w:t>protected (60 dB</w:t>
      </w:r>
      <w:r w:rsidR="009D6D8F">
        <w:rPr>
          <w:sz w:val="22"/>
          <w:szCs w:val="22"/>
        </w:rPr>
        <w:t>µ</w:t>
      </w:r>
      <w:r w:rsidR="003F2BC8" w:rsidRPr="003F2BC8">
        <w:rPr>
          <w:sz w:val="22"/>
          <w:szCs w:val="22"/>
        </w:rPr>
        <w:t xml:space="preserve">) contour (calculated in accordance with Section 74.1204(b) of </w:t>
      </w:r>
      <w:r w:rsidR="003F2BC8">
        <w:rPr>
          <w:sz w:val="22"/>
          <w:szCs w:val="22"/>
        </w:rPr>
        <w:t>the</w:t>
      </w:r>
      <w:r w:rsidR="003F2BC8" w:rsidRPr="003F2BC8">
        <w:rPr>
          <w:sz w:val="22"/>
          <w:szCs w:val="22"/>
        </w:rPr>
        <w:t xml:space="preserve"> </w:t>
      </w:r>
      <w:r w:rsidR="00D32405">
        <w:rPr>
          <w:sz w:val="22"/>
          <w:szCs w:val="22"/>
        </w:rPr>
        <w:t xml:space="preserve">Commission’s </w:t>
      </w:r>
      <w:r w:rsidR="003F2BC8" w:rsidRPr="003F2BC8">
        <w:rPr>
          <w:sz w:val="22"/>
          <w:szCs w:val="22"/>
        </w:rPr>
        <w:t>Rules</w:t>
      </w:r>
      <w:r w:rsidR="00330845">
        <w:rPr>
          <w:sz w:val="22"/>
          <w:szCs w:val="22"/>
        </w:rPr>
        <w:t xml:space="preserve"> (the “Rules”</w:t>
      </w:r>
      <w:r w:rsidR="003F2BC8" w:rsidRPr="003F2BC8">
        <w:rPr>
          <w:sz w:val="22"/>
          <w:szCs w:val="22"/>
        </w:rPr>
        <w:t>)</w:t>
      </w:r>
      <w:r w:rsidR="0049270C">
        <w:rPr>
          <w:rStyle w:val="FootnoteReference"/>
          <w:sz w:val="22"/>
          <w:szCs w:val="22"/>
        </w:rPr>
        <w:footnoteReference w:id="6"/>
      </w:r>
      <w:r w:rsidR="003F2BC8" w:rsidRPr="003F2BC8">
        <w:rPr>
          <w:sz w:val="22"/>
          <w:szCs w:val="22"/>
        </w:rPr>
        <w:t xml:space="preserve"> of </w:t>
      </w:r>
      <w:r w:rsidR="003F2BC8">
        <w:rPr>
          <w:sz w:val="22"/>
          <w:szCs w:val="22"/>
        </w:rPr>
        <w:t>a</w:t>
      </w:r>
      <w:r w:rsidR="003F2BC8" w:rsidRPr="003F2BC8">
        <w:rPr>
          <w:sz w:val="22"/>
          <w:szCs w:val="22"/>
        </w:rPr>
        <w:t xml:space="preserve"> proposed translator station may not overlap the protected (60 dB</w:t>
      </w:r>
      <w:r w:rsidR="007D2985">
        <w:rPr>
          <w:sz w:val="22"/>
          <w:szCs w:val="22"/>
        </w:rPr>
        <w:t>µ</w:t>
      </w:r>
      <w:r w:rsidR="003F2BC8" w:rsidRPr="003F2BC8">
        <w:rPr>
          <w:sz w:val="22"/>
          <w:szCs w:val="22"/>
        </w:rPr>
        <w:t xml:space="preserve">) contour of any other translator application filed by that applicant </w:t>
      </w:r>
      <w:r w:rsidR="00A76F39">
        <w:rPr>
          <w:sz w:val="22"/>
          <w:szCs w:val="22"/>
        </w:rPr>
        <w:t xml:space="preserve">in </w:t>
      </w:r>
      <w:r w:rsidR="0038785F">
        <w:rPr>
          <w:sz w:val="22"/>
          <w:szCs w:val="22"/>
        </w:rPr>
        <w:t xml:space="preserve">Auction 83 </w:t>
      </w:r>
      <w:r w:rsidR="003F2BC8" w:rsidRPr="003F2BC8">
        <w:rPr>
          <w:sz w:val="22"/>
          <w:szCs w:val="22"/>
        </w:rPr>
        <w:t xml:space="preserve">or </w:t>
      </w:r>
      <w:r w:rsidR="007D6BFC">
        <w:rPr>
          <w:sz w:val="22"/>
          <w:szCs w:val="22"/>
        </w:rPr>
        <w:t xml:space="preserve">any </w:t>
      </w:r>
      <w:r w:rsidR="003F2BC8" w:rsidRPr="003F2BC8">
        <w:rPr>
          <w:sz w:val="22"/>
          <w:szCs w:val="22"/>
        </w:rPr>
        <w:t>translator authorization held by that applicant</w:t>
      </w:r>
      <w:r w:rsidR="000617AB">
        <w:rPr>
          <w:sz w:val="22"/>
          <w:szCs w:val="22"/>
        </w:rPr>
        <w:t xml:space="preserve"> as of </w:t>
      </w:r>
      <w:r w:rsidR="00EA15F6">
        <w:rPr>
          <w:sz w:val="22"/>
          <w:szCs w:val="22"/>
        </w:rPr>
        <w:t>December 4, 2012</w:t>
      </w:r>
      <w:r w:rsidR="002F42FE">
        <w:rPr>
          <w:sz w:val="22"/>
          <w:szCs w:val="22"/>
        </w:rPr>
        <w:t xml:space="preserve">; and (2) </w:t>
      </w:r>
      <w:r w:rsidR="002F42FE" w:rsidRPr="002F42FE">
        <w:rPr>
          <w:sz w:val="22"/>
          <w:szCs w:val="22"/>
        </w:rPr>
        <w:t xml:space="preserve">the translator application may not preclude grant of a future </w:t>
      </w:r>
      <w:r w:rsidR="007F6823">
        <w:rPr>
          <w:sz w:val="22"/>
          <w:szCs w:val="22"/>
        </w:rPr>
        <w:t>low power FM (“</w:t>
      </w:r>
      <w:r w:rsidR="002F42FE" w:rsidRPr="002F42FE">
        <w:rPr>
          <w:sz w:val="22"/>
          <w:szCs w:val="22"/>
        </w:rPr>
        <w:t>LPFM</w:t>
      </w:r>
      <w:r w:rsidR="007F6823">
        <w:rPr>
          <w:sz w:val="22"/>
          <w:szCs w:val="22"/>
        </w:rPr>
        <w:t>”)</w:t>
      </w:r>
      <w:r w:rsidR="002F42FE" w:rsidRPr="002F42FE">
        <w:rPr>
          <w:sz w:val="22"/>
          <w:szCs w:val="22"/>
        </w:rPr>
        <w:t xml:space="preserve"> application in the </w:t>
      </w:r>
      <w:r w:rsidR="00445269">
        <w:rPr>
          <w:sz w:val="22"/>
          <w:szCs w:val="22"/>
        </w:rPr>
        <w:t>“</w:t>
      </w:r>
      <w:r w:rsidR="002F42FE" w:rsidRPr="002F42FE">
        <w:rPr>
          <w:sz w:val="22"/>
          <w:szCs w:val="22"/>
        </w:rPr>
        <w:t>grid</w:t>
      </w:r>
      <w:r w:rsidR="00445269">
        <w:rPr>
          <w:sz w:val="22"/>
          <w:szCs w:val="22"/>
        </w:rPr>
        <w:t>”</w:t>
      </w:r>
      <w:r w:rsidR="002F42FE" w:rsidRPr="002F42FE">
        <w:rPr>
          <w:sz w:val="22"/>
          <w:szCs w:val="22"/>
        </w:rPr>
        <w:t xml:space="preserve"> for that market.</w:t>
      </w:r>
      <w:r w:rsidR="002F42FE" w:rsidRPr="002F42FE">
        <w:rPr>
          <w:sz w:val="22"/>
          <w:szCs w:val="22"/>
          <w:vertAlign w:val="superscript"/>
        </w:rPr>
        <w:footnoteReference w:id="7"/>
      </w:r>
      <w:r w:rsidR="002F42FE">
        <w:rPr>
          <w:sz w:val="22"/>
          <w:szCs w:val="22"/>
        </w:rPr>
        <w:t xml:space="preserve">  </w:t>
      </w:r>
      <w:r w:rsidR="00087C2E">
        <w:rPr>
          <w:sz w:val="22"/>
          <w:szCs w:val="22"/>
        </w:rPr>
        <w:t>On January 10</w:t>
      </w:r>
      <w:r w:rsidR="00445269">
        <w:rPr>
          <w:sz w:val="22"/>
          <w:szCs w:val="22"/>
        </w:rPr>
        <w:t>, 2013, i</w:t>
      </w:r>
      <w:r w:rsidR="0070370E">
        <w:rPr>
          <w:sz w:val="22"/>
          <w:szCs w:val="22"/>
        </w:rPr>
        <w:t xml:space="preserve">n response to a </w:t>
      </w:r>
      <w:r w:rsidR="00C83AF5">
        <w:rPr>
          <w:sz w:val="22"/>
          <w:szCs w:val="22"/>
        </w:rPr>
        <w:t>Media Bureau</w:t>
      </w:r>
      <w:r w:rsidR="0070370E">
        <w:rPr>
          <w:sz w:val="22"/>
          <w:szCs w:val="22"/>
        </w:rPr>
        <w:t xml:space="preserve"> Public Notice</w:t>
      </w:r>
      <w:r w:rsidR="00E55863">
        <w:rPr>
          <w:rStyle w:val="FootnoteReference"/>
          <w:sz w:val="22"/>
          <w:szCs w:val="22"/>
        </w:rPr>
        <w:footnoteReference w:id="8"/>
      </w:r>
      <w:r w:rsidR="0070370E">
        <w:rPr>
          <w:sz w:val="22"/>
          <w:szCs w:val="22"/>
        </w:rPr>
        <w:t xml:space="preserve"> </w:t>
      </w:r>
      <w:r w:rsidR="003E2A21">
        <w:rPr>
          <w:sz w:val="22"/>
          <w:szCs w:val="22"/>
        </w:rPr>
        <w:t xml:space="preserve">that, </w:t>
      </w:r>
      <w:r w:rsidR="003E2A21" w:rsidRPr="003E2A21">
        <w:rPr>
          <w:i/>
          <w:sz w:val="22"/>
          <w:szCs w:val="22"/>
        </w:rPr>
        <w:t>inter alia</w:t>
      </w:r>
      <w:r w:rsidR="003E2A21">
        <w:rPr>
          <w:i/>
          <w:sz w:val="22"/>
          <w:szCs w:val="22"/>
        </w:rPr>
        <w:t>,</w:t>
      </w:r>
      <w:r w:rsidR="003E2A21" w:rsidRPr="003E2A21">
        <w:rPr>
          <w:i/>
          <w:sz w:val="22"/>
          <w:szCs w:val="22"/>
        </w:rPr>
        <w:t xml:space="preserve"> </w:t>
      </w:r>
      <w:r w:rsidR="003E2A21">
        <w:rPr>
          <w:sz w:val="22"/>
          <w:szCs w:val="22"/>
        </w:rPr>
        <w:t xml:space="preserve">required </w:t>
      </w:r>
      <w:r w:rsidR="00F521C8" w:rsidRPr="00F521C8">
        <w:rPr>
          <w:sz w:val="22"/>
          <w:szCs w:val="22"/>
        </w:rPr>
        <w:t>applicants</w:t>
      </w:r>
      <w:r w:rsidR="00F521C8">
        <w:rPr>
          <w:sz w:val="22"/>
          <w:szCs w:val="22"/>
        </w:rPr>
        <w:t xml:space="preserve"> </w:t>
      </w:r>
      <w:r w:rsidR="00F521C8" w:rsidRPr="00F521C8">
        <w:rPr>
          <w:sz w:val="22"/>
          <w:szCs w:val="22"/>
        </w:rPr>
        <w:t xml:space="preserve">subject to </w:t>
      </w:r>
      <w:r w:rsidR="003E2A21">
        <w:rPr>
          <w:sz w:val="22"/>
          <w:szCs w:val="22"/>
        </w:rPr>
        <w:t xml:space="preserve">the </w:t>
      </w:r>
      <w:r w:rsidR="00F521C8" w:rsidRPr="00F521C8">
        <w:rPr>
          <w:sz w:val="22"/>
          <w:szCs w:val="22"/>
        </w:rPr>
        <w:t>per-market cap to submit certain showings</w:t>
      </w:r>
      <w:r w:rsidR="00F521C8">
        <w:rPr>
          <w:sz w:val="22"/>
          <w:szCs w:val="22"/>
        </w:rPr>
        <w:t xml:space="preserve"> </w:t>
      </w:r>
      <w:r w:rsidR="00F521C8" w:rsidRPr="00F521C8">
        <w:rPr>
          <w:sz w:val="22"/>
          <w:szCs w:val="22"/>
        </w:rPr>
        <w:t xml:space="preserve">during </w:t>
      </w:r>
      <w:r w:rsidR="00F521C8">
        <w:rPr>
          <w:sz w:val="22"/>
          <w:szCs w:val="22"/>
        </w:rPr>
        <w:t>the</w:t>
      </w:r>
      <w:r w:rsidR="00F521C8" w:rsidRPr="00F521C8">
        <w:rPr>
          <w:sz w:val="22"/>
          <w:szCs w:val="22"/>
        </w:rPr>
        <w:t xml:space="preserve"> window opened for these filings</w:t>
      </w:r>
      <w:r w:rsidR="00F521C8">
        <w:rPr>
          <w:sz w:val="22"/>
          <w:szCs w:val="22"/>
        </w:rPr>
        <w:t xml:space="preserve">, Sam-Sno requested </w:t>
      </w:r>
      <w:r w:rsidR="00C83AF5">
        <w:rPr>
          <w:sz w:val="22"/>
          <w:szCs w:val="22"/>
        </w:rPr>
        <w:t xml:space="preserve">the </w:t>
      </w:r>
      <w:r w:rsidR="00F521C8">
        <w:rPr>
          <w:sz w:val="22"/>
          <w:szCs w:val="22"/>
        </w:rPr>
        <w:t>dismissal of five of its applications</w:t>
      </w:r>
      <w:r w:rsidR="00F521C8">
        <w:rPr>
          <w:rStyle w:val="FootnoteReference"/>
          <w:sz w:val="22"/>
          <w:szCs w:val="22"/>
        </w:rPr>
        <w:footnoteReference w:id="9"/>
      </w:r>
      <w:r w:rsidR="00F521C8">
        <w:rPr>
          <w:sz w:val="22"/>
          <w:szCs w:val="22"/>
        </w:rPr>
        <w:t xml:space="preserve"> and that the McCleary and North Olympia Applications be processed</w:t>
      </w:r>
      <w:r w:rsidR="009D6D8F">
        <w:rPr>
          <w:sz w:val="22"/>
          <w:szCs w:val="22"/>
        </w:rPr>
        <w:t xml:space="preserve"> pursuant to a waiver of the overlap provision</w:t>
      </w:r>
      <w:r w:rsidR="00F521C8">
        <w:rPr>
          <w:sz w:val="22"/>
          <w:szCs w:val="22"/>
        </w:rPr>
        <w:t xml:space="preserve">.    </w:t>
      </w:r>
      <w:r w:rsidR="0070370E">
        <w:rPr>
          <w:sz w:val="22"/>
          <w:szCs w:val="22"/>
        </w:rPr>
        <w:t xml:space="preserve"> </w:t>
      </w:r>
      <w:r w:rsidR="00AD538C">
        <w:rPr>
          <w:sz w:val="22"/>
          <w:szCs w:val="22"/>
        </w:rPr>
        <w:t xml:space="preserve">  </w:t>
      </w:r>
    </w:p>
    <w:p w:rsidR="00BB204B" w:rsidRPr="00BB204B" w:rsidRDefault="00BB204B" w:rsidP="00BB204B">
      <w:pPr>
        <w:rPr>
          <w:sz w:val="22"/>
          <w:szCs w:val="22"/>
        </w:rPr>
      </w:pPr>
    </w:p>
    <w:p w:rsidR="000A2601" w:rsidRDefault="00BB204B" w:rsidP="000A2601">
      <w:pPr>
        <w:rPr>
          <w:sz w:val="22"/>
          <w:szCs w:val="22"/>
        </w:rPr>
      </w:pPr>
      <w:r w:rsidRPr="00BB204B">
        <w:rPr>
          <w:sz w:val="22"/>
          <w:szCs w:val="22"/>
        </w:rPr>
        <w:tab/>
        <w:t xml:space="preserve">In its Waiver Request, </w:t>
      </w:r>
      <w:r w:rsidR="005A14D0">
        <w:rPr>
          <w:sz w:val="22"/>
          <w:szCs w:val="22"/>
        </w:rPr>
        <w:t>Sam-Sno</w:t>
      </w:r>
      <w:r w:rsidRPr="00BB204B">
        <w:rPr>
          <w:sz w:val="22"/>
          <w:szCs w:val="22"/>
        </w:rPr>
        <w:t xml:space="preserve"> </w:t>
      </w:r>
      <w:r w:rsidR="00EF68A0">
        <w:rPr>
          <w:sz w:val="22"/>
          <w:szCs w:val="22"/>
        </w:rPr>
        <w:t xml:space="preserve">contends that </w:t>
      </w:r>
      <w:r w:rsidR="00892100">
        <w:rPr>
          <w:sz w:val="22"/>
          <w:szCs w:val="22"/>
        </w:rPr>
        <w:t xml:space="preserve">the overlap between the McCleary and North Olympia Applications is </w:t>
      </w:r>
      <w:r w:rsidR="00892100" w:rsidRPr="00892100">
        <w:rPr>
          <w:i/>
          <w:sz w:val="22"/>
          <w:szCs w:val="22"/>
        </w:rPr>
        <w:t>de minim</w:t>
      </w:r>
      <w:r w:rsidR="00153B4A">
        <w:rPr>
          <w:i/>
          <w:sz w:val="22"/>
          <w:szCs w:val="22"/>
        </w:rPr>
        <w:t>i</w:t>
      </w:r>
      <w:r w:rsidR="00892100" w:rsidRPr="00892100">
        <w:rPr>
          <w:i/>
          <w:sz w:val="22"/>
          <w:szCs w:val="22"/>
        </w:rPr>
        <w:t>s</w:t>
      </w:r>
      <w:r w:rsidR="00892100">
        <w:rPr>
          <w:sz w:val="22"/>
          <w:szCs w:val="22"/>
        </w:rPr>
        <w:t>.</w:t>
      </w:r>
      <w:r w:rsidR="00892100">
        <w:rPr>
          <w:rStyle w:val="FootnoteReference"/>
          <w:sz w:val="22"/>
          <w:szCs w:val="22"/>
        </w:rPr>
        <w:footnoteReference w:id="10"/>
      </w:r>
      <w:r w:rsidR="00892100">
        <w:rPr>
          <w:sz w:val="22"/>
          <w:szCs w:val="22"/>
        </w:rPr>
        <w:t xml:space="preserve">  Specifically, Sam-Sno argues that </w:t>
      </w:r>
      <w:r w:rsidR="00F57012">
        <w:rPr>
          <w:sz w:val="22"/>
          <w:szCs w:val="22"/>
        </w:rPr>
        <w:t>its</w:t>
      </w:r>
      <w:r w:rsidR="00892100">
        <w:rPr>
          <w:sz w:val="22"/>
          <w:szCs w:val="22"/>
        </w:rPr>
        <w:t xml:space="preserve"> two proposed </w:t>
      </w:r>
      <w:r w:rsidR="00F57012">
        <w:rPr>
          <w:sz w:val="22"/>
          <w:szCs w:val="22"/>
        </w:rPr>
        <w:t xml:space="preserve">FM </w:t>
      </w:r>
      <w:r w:rsidR="00892100">
        <w:rPr>
          <w:sz w:val="22"/>
          <w:szCs w:val="22"/>
        </w:rPr>
        <w:t xml:space="preserve">translator stations are intended to </w:t>
      </w:r>
      <w:r w:rsidR="00EF68A0">
        <w:rPr>
          <w:sz w:val="22"/>
          <w:szCs w:val="22"/>
        </w:rPr>
        <w:t>serve different</w:t>
      </w:r>
      <w:r w:rsidR="00892100">
        <w:rPr>
          <w:sz w:val="22"/>
          <w:szCs w:val="22"/>
        </w:rPr>
        <w:t xml:space="preserve"> geographical areas and </w:t>
      </w:r>
      <w:r w:rsidR="00AB50D2">
        <w:rPr>
          <w:sz w:val="22"/>
          <w:szCs w:val="22"/>
        </w:rPr>
        <w:t xml:space="preserve">the overlap encompasses </w:t>
      </w:r>
      <w:r w:rsidR="00A876C7">
        <w:rPr>
          <w:sz w:val="22"/>
          <w:szCs w:val="22"/>
        </w:rPr>
        <w:t>only</w:t>
      </w:r>
      <w:r w:rsidR="000A2601" w:rsidRPr="000A2601">
        <w:rPr>
          <w:sz w:val="22"/>
          <w:szCs w:val="22"/>
        </w:rPr>
        <w:t xml:space="preserve"> 1.4 square kilometers</w:t>
      </w:r>
      <w:r w:rsidR="00AB50D2">
        <w:rPr>
          <w:sz w:val="22"/>
          <w:szCs w:val="22"/>
        </w:rPr>
        <w:t>,</w:t>
      </w:r>
      <w:r w:rsidR="000A2601" w:rsidRPr="000A2601">
        <w:rPr>
          <w:sz w:val="22"/>
          <w:szCs w:val="22"/>
        </w:rPr>
        <w:t xml:space="preserve"> </w:t>
      </w:r>
      <w:r w:rsidR="00A876C7">
        <w:rPr>
          <w:sz w:val="22"/>
          <w:szCs w:val="22"/>
        </w:rPr>
        <w:t>c</w:t>
      </w:r>
      <w:r w:rsidR="000A2601" w:rsidRPr="000A2601">
        <w:rPr>
          <w:sz w:val="22"/>
          <w:szCs w:val="22"/>
        </w:rPr>
        <w:t>ontain</w:t>
      </w:r>
      <w:r w:rsidR="00A876C7">
        <w:rPr>
          <w:sz w:val="22"/>
          <w:szCs w:val="22"/>
        </w:rPr>
        <w:t>ing</w:t>
      </w:r>
      <w:r w:rsidR="00BB64A0">
        <w:rPr>
          <w:sz w:val="22"/>
          <w:szCs w:val="22"/>
        </w:rPr>
        <w:t xml:space="preserve"> a population of approximately </w:t>
      </w:r>
      <w:r w:rsidR="000A2601" w:rsidRPr="000A2601">
        <w:rPr>
          <w:sz w:val="22"/>
          <w:szCs w:val="22"/>
        </w:rPr>
        <w:t>761</w:t>
      </w:r>
      <w:r w:rsidR="00445269">
        <w:rPr>
          <w:sz w:val="22"/>
          <w:szCs w:val="22"/>
        </w:rPr>
        <w:t xml:space="preserve"> persons</w:t>
      </w:r>
      <w:r w:rsidR="007D2985">
        <w:rPr>
          <w:sz w:val="22"/>
          <w:szCs w:val="22"/>
        </w:rPr>
        <w:t>.</w:t>
      </w:r>
      <w:r w:rsidR="000A2601">
        <w:rPr>
          <w:rStyle w:val="FootnoteReference"/>
          <w:sz w:val="22"/>
          <w:szCs w:val="22"/>
        </w:rPr>
        <w:footnoteReference w:id="11"/>
      </w:r>
      <w:r w:rsidR="00F57012">
        <w:rPr>
          <w:sz w:val="22"/>
          <w:szCs w:val="22"/>
        </w:rPr>
        <w:t xml:space="preserve">  Sam-Sno c</w:t>
      </w:r>
      <w:r w:rsidR="00EF68A0">
        <w:rPr>
          <w:sz w:val="22"/>
          <w:szCs w:val="22"/>
        </w:rPr>
        <w:t>laims</w:t>
      </w:r>
      <w:r w:rsidR="00F57012">
        <w:rPr>
          <w:sz w:val="22"/>
          <w:szCs w:val="22"/>
        </w:rPr>
        <w:t xml:space="preserve"> that</w:t>
      </w:r>
      <w:r w:rsidR="00AC5B65">
        <w:rPr>
          <w:sz w:val="22"/>
          <w:szCs w:val="22"/>
        </w:rPr>
        <w:t>, although</w:t>
      </w:r>
      <w:r w:rsidR="00472E0E">
        <w:rPr>
          <w:sz w:val="22"/>
          <w:szCs w:val="22"/>
        </w:rPr>
        <w:t xml:space="preserve"> no </w:t>
      </w:r>
      <w:r w:rsidR="00472E0E" w:rsidRPr="00472E0E">
        <w:rPr>
          <w:i/>
          <w:sz w:val="22"/>
          <w:szCs w:val="22"/>
        </w:rPr>
        <w:t>de minim</w:t>
      </w:r>
      <w:r w:rsidR="003508E3">
        <w:rPr>
          <w:i/>
          <w:sz w:val="22"/>
          <w:szCs w:val="22"/>
        </w:rPr>
        <w:t>i</w:t>
      </w:r>
      <w:r w:rsidR="00472E0E" w:rsidRPr="00472E0E">
        <w:rPr>
          <w:i/>
          <w:sz w:val="22"/>
          <w:szCs w:val="22"/>
        </w:rPr>
        <w:t>s</w:t>
      </w:r>
      <w:r w:rsidR="00472E0E">
        <w:rPr>
          <w:sz w:val="22"/>
          <w:szCs w:val="22"/>
        </w:rPr>
        <w:t xml:space="preserve"> </w:t>
      </w:r>
      <w:r w:rsidR="00BE0B45">
        <w:rPr>
          <w:sz w:val="22"/>
          <w:szCs w:val="22"/>
        </w:rPr>
        <w:t xml:space="preserve">overlap </w:t>
      </w:r>
      <w:r w:rsidR="00472E0E">
        <w:rPr>
          <w:sz w:val="22"/>
          <w:szCs w:val="22"/>
        </w:rPr>
        <w:t xml:space="preserve">threshold </w:t>
      </w:r>
      <w:r w:rsidR="00EF68A0">
        <w:rPr>
          <w:sz w:val="22"/>
          <w:szCs w:val="22"/>
        </w:rPr>
        <w:t xml:space="preserve">is </w:t>
      </w:r>
      <w:r w:rsidR="00472E0E">
        <w:rPr>
          <w:sz w:val="22"/>
          <w:szCs w:val="22"/>
        </w:rPr>
        <w:t xml:space="preserve">stated in the </w:t>
      </w:r>
      <w:r w:rsidR="00472E0E" w:rsidRPr="00472E0E">
        <w:rPr>
          <w:i/>
          <w:sz w:val="22"/>
          <w:szCs w:val="22"/>
        </w:rPr>
        <w:t>Fifth Order on Reconsideration</w:t>
      </w:r>
      <w:r w:rsidR="00472E0E">
        <w:rPr>
          <w:sz w:val="22"/>
          <w:szCs w:val="22"/>
        </w:rPr>
        <w:t>, the Commission “has set a precedent in other broadcast decisions that indicates that some leeway could be granted in this case for the public good and necessity.”</w:t>
      </w:r>
      <w:r w:rsidR="00472E0E">
        <w:rPr>
          <w:rStyle w:val="FootnoteReference"/>
          <w:sz w:val="22"/>
          <w:szCs w:val="22"/>
        </w:rPr>
        <w:footnoteReference w:id="12"/>
      </w:r>
      <w:r w:rsidR="00472E0E">
        <w:rPr>
          <w:sz w:val="22"/>
          <w:szCs w:val="22"/>
        </w:rPr>
        <w:t xml:space="preserve">  </w:t>
      </w:r>
      <w:r w:rsidR="00F634A0">
        <w:rPr>
          <w:sz w:val="22"/>
          <w:szCs w:val="22"/>
        </w:rPr>
        <w:t>Finally, Sam-Sno requests that the North Olympia Application be processed and that the McCleary Application be dismissed if we determine that it is impossible to allow both “Appendix A” applications to be processed</w:t>
      </w:r>
      <w:r w:rsidR="00472E0E">
        <w:rPr>
          <w:sz w:val="22"/>
          <w:szCs w:val="22"/>
        </w:rPr>
        <w:t>.</w:t>
      </w:r>
      <w:r w:rsidR="00472E0E">
        <w:rPr>
          <w:rStyle w:val="FootnoteReference"/>
          <w:sz w:val="22"/>
          <w:szCs w:val="22"/>
        </w:rPr>
        <w:footnoteReference w:id="13"/>
      </w:r>
      <w:r w:rsidR="00472E0E">
        <w:rPr>
          <w:sz w:val="22"/>
          <w:szCs w:val="22"/>
        </w:rPr>
        <w:t xml:space="preserve">  </w:t>
      </w:r>
    </w:p>
    <w:p w:rsidR="00BB204B" w:rsidRPr="00BB204B" w:rsidRDefault="00BB204B" w:rsidP="00BB204B">
      <w:pPr>
        <w:rPr>
          <w:sz w:val="22"/>
          <w:szCs w:val="22"/>
        </w:rPr>
      </w:pPr>
      <w:r w:rsidRPr="00BB204B">
        <w:rPr>
          <w:sz w:val="22"/>
          <w:szCs w:val="22"/>
        </w:rPr>
        <w:t xml:space="preserve">        </w:t>
      </w:r>
    </w:p>
    <w:p w:rsidR="001D1652" w:rsidRPr="00EB5261" w:rsidRDefault="00BB204B" w:rsidP="006872A5">
      <w:pPr>
        <w:rPr>
          <w:sz w:val="22"/>
          <w:szCs w:val="22"/>
        </w:rPr>
      </w:pPr>
      <w:r w:rsidRPr="00BB204B">
        <w:rPr>
          <w:sz w:val="22"/>
          <w:szCs w:val="22"/>
        </w:rPr>
        <w:tab/>
      </w:r>
      <w:r w:rsidRPr="00BB204B">
        <w:rPr>
          <w:b/>
          <w:sz w:val="22"/>
          <w:szCs w:val="22"/>
        </w:rPr>
        <w:t>Discussion</w:t>
      </w:r>
      <w:r w:rsidRPr="00BB204B">
        <w:rPr>
          <w:sz w:val="22"/>
          <w:szCs w:val="22"/>
        </w:rPr>
        <w:t>.  Section 1.3 of the Rules expressly provides that any provision of the Rules may be waived by the Commission in whole or in part, for good cause shown.</w:t>
      </w:r>
      <w:r w:rsidRPr="00BB204B">
        <w:rPr>
          <w:sz w:val="22"/>
          <w:szCs w:val="22"/>
          <w:vertAlign w:val="superscript"/>
        </w:rPr>
        <w:footnoteReference w:id="14"/>
      </w:r>
      <w:r w:rsidRPr="00BB204B">
        <w:rPr>
          <w:sz w:val="22"/>
          <w:szCs w:val="22"/>
        </w:rPr>
        <w:t xml:space="preserve">  </w:t>
      </w:r>
      <w:r w:rsidR="00C816E5" w:rsidRPr="00C816E5">
        <w:rPr>
          <w:sz w:val="22"/>
          <w:szCs w:val="22"/>
        </w:rPr>
        <w:t xml:space="preserve">An applicant seeking a </w:t>
      </w:r>
      <w:bookmarkStart w:id="5" w:name="SR;1211"/>
      <w:bookmarkStart w:id="6" w:name="SearchTerm"/>
      <w:bookmarkEnd w:id="5"/>
      <w:r w:rsidR="00236EA3">
        <w:rPr>
          <w:sz w:val="22"/>
          <w:szCs w:val="22"/>
        </w:rPr>
        <w:t>waiver</w:t>
      </w:r>
      <w:r w:rsidR="00C816E5" w:rsidRPr="00C816E5">
        <w:rPr>
          <w:sz w:val="22"/>
          <w:szCs w:val="22"/>
        </w:rPr>
        <w:t xml:space="preserve"> </w:t>
      </w:r>
      <w:r w:rsidR="00C816E5" w:rsidRPr="00C816E5">
        <w:rPr>
          <w:sz w:val="22"/>
          <w:szCs w:val="22"/>
        </w:rPr>
        <w:lastRenderedPageBreak/>
        <w:t>has the burden to plead with particularity the facts and circumstances that warrant such action.</w:t>
      </w:r>
      <w:bookmarkStart w:id="7" w:name="FN[FN18]"/>
      <w:bookmarkEnd w:id="7"/>
      <w:r w:rsidR="00236EA3">
        <w:rPr>
          <w:rStyle w:val="FootnoteReference"/>
          <w:sz w:val="22"/>
          <w:szCs w:val="22"/>
        </w:rPr>
        <w:footnoteReference w:id="15"/>
      </w:r>
      <w:r w:rsidR="00236EA3">
        <w:rPr>
          <w:sz w:val="22"/>
          <w:szCs w:val="22"/>
        </w:rPr>
        <w:t xml:space="preserve">  </w:t>
      </w:r>
      <w:r w:rsidR="00C816E5" w:rsidRPr="00C816E5">
        <w:rPr>
          <w:sz w:val="22"/>
          <w:szCs w:val="22"/>
        </w:rPr>
        <w:t xml:space="preserve">The Commission must give </w:t>
      </w:r>
      <w:bookmarkStart w:id="8" w:name="SR;1233"/>
      <w:bookmarkEnd w:id="8"/>
      <w:r w:rsidR="00236EA3">
        <w:rPr>
          <w:sz w:val="22"/>
          <w:szCs w:val="22"/>
        </w:rPr>
        <w:t>waiver</w:t>
      </w:r>
      <w:r w:rsidR="00C816E5" w:rsidRPr="00C816E5">
        <w:rPr>
          <w:sz w:val="22"/>
          <w:szCs w:val="22"/>
        </w:rPr>
        <w:t xml:space="preserve"> requests “a hard look,” but an applicant for </w:t>
      </w:r>
      <w:bookmarkStart w:id="9" w:name="SR;1242"/>
      <w:bookmarkEnd w:id="9"/>
      <w:r w:rsidR="00236EA3">
        <w:rPr>
          <w:sz w:val="22"/>
          <w:szCs w:val="22"/>
        </w:rPr>
        <w:t>waiver</w:t>
      </w:r>
      <w:r w:rsidR="00C816E5" w:rsidRPr="00C816E5">
        <w:rPr>
          <w:sz w:val="22"/>
          <w:szCs w:val="22"/>
        </w:rPr>
        <w:t xml:space="preserve"> “faces a high hurdle even at the starting gate”</w:t>
      </w:r>
      <w:bookmarkStart w:id="10" w:name="FN[FN19]"/>
      <w:bookmarkEnd w:id="10"/>
      <w:r w:rsidR="00236EA3">
        <w:rPr>
          <w:rStyle w:val="FootnoteReference"/>
          <w:sz w:val="22"/>
          <w:szCs w:val="22"/>
        </w:rPr>
        <w:footnoteReference w:id="16"/>
      </w:r>
      <w:r w:rsidR="00C816E5" w:rsidRPr="00C816E5">
        <w:rPr>
          <w:sz w:val="22"/>
          <w:szCs w:val="22"/>
        </w:rPr>
        <w:t xml:space="preserve"> and must support its </w:t>
      </w:r>
      <w:bookmarkStart w:id="11" w:name="SR;1257"/>
      <w:bookmarkEnd w:id="11"/>
      <w:r w:rsidR="00236EA3">
        <w:rPr>
          <w:sz w:val="22"/>
          <w:szCs w:val="22"/>
        </w:rPr>
        <w:t>waiver</w:t>
      </w:r>
      <w:r w:rsidR="00C816E5" w:rsidRPr="00C816E5">
        <w:rPr>
          <w:sz w:val="22"/>
          <w:szCs w:val="22"/>
        </w:rPr>
        <w:t xml:space="preserve"> request with a compelling showing.</w:t>
      </w:r>
      <w:bookmarkStart w:id="12" w:name="FN[FN20]"/>
      <w:bookmarkEnd w:id="12"/>
      <w:r w:rsidR="00236EA3">
        <w:rPr>
          <w:rStyle w:val="FootnoteReference"/>
          <w:sz w:val="22"/>
          <w:szCs w:val="22"/>
        </w:rPr>
        <w:footnoteReference w:id="17"/>
      </w:r>
      <w:r w:rsidR="00C816E5" w:rsidRPr="00C816E5">
        <w:rPr>
          <w:sz w:val="22"/>
          <w:szCs w:val="22"/>
        </w:rPr>
        <w:t xml:space="preserve"> The Commission may exercise its discretion to waive a policy or rule where the particular facts make strict compliance inconsistent with the public interest.</w:t>
      </w:r>
      <w:bookmarkStart w:id="13" w:name="FN[FN21]"/>
      <w:bookmarkEnd w:id="13"/>
      <w:r w:rsidR="00236EA3">
        <w:rPr>
          <w:rStyle w:val="FootnoteReference"/>
          <w:sz w:val="22"/>
          <w:szCs w:val="22"/>
        </w:rPr>
        <w:footnoteReference w:id="18"/>
      </w:r>
      <w:r w:rsidR="00236EA3">
        <w:rPr>
          <w:sz w:val="22"/>
          <w:szCs w:val="22"/>
        </w:rPr>
        <w:t xml:space="preserve">  </w:t>
      </w:r>
      <w:r w:rsidR="00C816E5" w:rsidRPr="00C816E5">
        <w:rPr>
          <w:sz w:val="22"/>
          <w:szCs w:val="22"/>
        </w:rPr>
        <w:t>In addition, the Commission may take into account considerations of hardship, equity, or more effective implementation of overall policy on an individual basis.</w:t>
      </w:r>
      <w:bookmarkStart w:id="14" w:name="FN[FN22]"/>
      <w:bookmarkEnd w:id="14"/>
      <w:r w:rsidR="00236EA3">
        <w:rPr>
          <w:rStyle w:val="FootnoteReference"/>
          <w:sz w:val="22"/>
          <w:szCs w:val="22"/>
        </w:rPr>
        <w:footnoteReference w:id="19"/>
      </w:r>
      <w:r w:rsidR="00236EA3">
        <w:rPr>
          <w:sz w:val="22"/>
          <w:szCs w:val="22"/>
        </w:rPr>
        <w:t xml:space="preserve">  </w:t>
      </w:r>
      <w:r w:rsidR="00C816E5" w:rsidRPr="00C816E5">
        <w:rPr>
          <w:sz w:val="22"/>
          <w:szCs w:val="22"/>
        </w:rPr>
        <w:t xml:space="preserve">However, </w:t>
      </w:r>
      <w:bookmarkStart w:id="15" w:name="SR;1317"/>
      <w:bookmarkEnd w:id="6"/>
      <w:bookmarkEnd w:id="15"/>
      <w:r w:rsidR="00236EA3">
        <w:rPr>
          <w:sz w:val="22"/>
          <w:szCs w:val="22"/>
        </w:rPr>
        <w:t>waiver</w:t>
      </w:r>
      <w:r w:rsidR="00C816E5" w:rsidRPr="00C816E5">
        <w:rPr>
          <w:sz w:val="22"/>
          <w:szCs w:val="22"/>
        </w:rPr>
        <w:t xml:space="preserve"> of the Commission's policies or rules is appropriate only </w:t>
      </w:r>
      <w:r w:rsidR="00236EA3">
        <w:rPr>
          <w:sz w:val="22"/>
          <w:szCs w:val="22"/>
        </w:rPr>
        <w:t>i</w:t>
      </w:r>
      <w:r w:rsidR="00C816E5" w:rsidRPr="00C816E5">
        <w:rPr>
          <w:sz w:val="22"/>
          <w:szCs w:val="22"/>
        </w:rPr>
        <w:t>f both (i) special circumstances warrant a deviation from the general rule, and (ii) such deviation will serve the public interest.</w:t>
      </w:r>
      <w:bookmarkStart w:id="16" w:name="FN[FN23]"/>
      <w:bookmarkEnd w:id="16"/>
      <w:r w:rsidR="00236EA3">
        <w:rPr>
          <w:rStyle w:val="FootnoteReference"/>
          <w:sz w:val="22"/>
          <w:szCs w:val="22"/>
        </w:rPr>
        <w:footnoteReference w:id="20"/>
      </w:r>
      <w:bookmarkStart w:id="18" w:name="SR;528"/>
      <w:bookmarkStart w:id="19" w:name="SR;530"/>
      <w:bookmarkStart w:id="20" w:name="SR;531"/>
      <w:bookmarkStart w:id="21" w:name="SR;547"/>
      <w:bookmarkStart w:id="22" w:name="SR;552"/>
      <w:bookmarkStart w:id="23" w:name="SR;571"/>
      <w:bookmarkStart w:id="24" w:name="SR;588"/>
      <w:bookmarkStart w:id="25" w:name="SR;599"/>
      <w:bookmarkStart w:id="26" w:name="SR;607"/>
      <w:bookmarkStart w:id="27" w:name="SR;608"/>
      <w:bookmarkStart w:id="28" w:name="SR;616"/>
      <w:bookmarkStart w:id="29" w:name="SR;686"/>
      <w:bookmarkStart w:id="30" w:name="SR;1401"/>
      <w:bookmarkStart w:id="31" w:name="SR;1418"/>
      <w:bookmarkStart w:id="32" w:name="SR;1419"/>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002E0504" w:rsidRPr="00EB5261">
        <w:rPr>
          <w:i/>
          <w:sz w:val="22"/>
          <w:szCs w:val="22"/>
        </w:rPr>
        <w:t xml:space="preserve">  </w:t>
      </w:r>
      <w:r w:rsidR="001D1652" w:rsidRPr="00EB5261">
        <w:rPr>
          <w:i/>
          <w:sz w:val="22"/>
          <w:szCs w:val="22"/>
        </w:rPr>
        <w:t xml:space="preserve"> </w:t>
      </w:r>
    </w:p>
    <w:p w:rsidR="00CC2B4D" w:rsidRDefault="001D1652" w:rsidP="00BB204B">
      <w:pPr>
        <w:rPr>
          <w:sz w:val="22"/>
          <w:szCs w:val="22"/>
        </w:rPr>
      </w:pPr>
      <w:r>
        <w:rPr>
          <w:sz w:val="22"/>
          <w:szCs w:val="22"/>
        </w:rPr>
        <w:tab/>
      </w:r>
      <w:bookmarkStart w:id="33" w:name="FN[FN111]"/>
      <w:bookmarkStart w:id="34" w:name="SR;572"/>
      <w:bookmarkStart w:id="35" w:name="SR;573"/>
      <w:bookmarkStart w:id="36" w:name="SR;5434"/>
      <w:bookmarkStart w:id="37" w:name="SR;941"/>
      <w:bookmarkStart w:id="38" w:name="SR;5453"/>
      <w:bookmarkStart w:id="39" w:name="SR;5454"/>
      <w:bookmarkStart w:id="40" w:name="SR;946"/>
      <w:bookmarkStart w:id="41" w:name="SR;947"/>
      <w:bookmarkStart w:id="42" w:name="SR;5439"/>
      <w:bookmarkEnd w:id="33"/>
      <w:bookmarkEnd w:id="34"/>
      <w:bookmarkEnd w:id="35"/>
      <w:bookmarkEnd w:id="36"/>
      <w:bookmarkEnd w:id="37"/>
      <w:bookmarkEnd w:id="38"/>
      <w:bookmarkEnd w:id="39"/>
      <w:bookmarkEnd w:id="40"/>
      <w:bookmarkEnd w:id="41"/>
      <w:bookmarkEnd w:id="42"/>
    </w:p>
    <w:p w:rsidR="0038785F" w:rsidRDefault="005277AA" w:rsidP="00001CA7">
      <w:pPr>
        <w:autoSpaceDE w:val="0"/>
        <w:autoSpaceDN w:val="0"/>
        <w:adjustRightInd w:val="0"/>
        <w:rPr>
          <w:sz w:val="22"/>
          <w:szCs w:val="22"/>
        </w:rPr>
      </w:pPr>
      <w:r w:rsidRPr="00E53011">
        <w:rPr>
          <w:sz w:val="22"/>
          <w:szCs w:val="22"/>
        </w:rPr>
        <w:tab/>
      </w:r>
      <w:r w:rsidR="005F08D5" w:rsidRPr="00001CA7">
        <w:rPr>
          <w:sz w:val="22"/>
          <w:szCs w:val="22"/>
        </w:rPr>
        <w:t xml:space="preserve">The facts presented by Sam-Sno do not meet this </w:t>
      </w:r>
      <w:bookmarkStart w:id="43" w:name="SR;1086"/>
      <w:bookmarkEnd w:id="43"/>
      <w:r w:rsidR="00FC3BD7" w:rsidRPr="00001CA7">
        <w:rPr>
          <w:sz w:val="22"/>
          <w:szCs w:val="22"/>
        </w:rPr>
        <w:t>burden.</w:t>
      </w:r>
      <w:r w:rsidR="00E53011" w:rsidRPr="00001CA7">
        <w:rPr>
          <w:sz w:val="22"/>
          <w:szCs w:val="22"/>
        </w:rPr>
        <w:t xml:space="preserve">  </w:t>
      </w:r>
      <w:r w:rsidR="00FC3BD7" w:rsidRPr="00001CA7">
        <w:rPr>
          <w:rStyle w:val="CommentReference"/>
          <w:sz w:val="22"/>
          <w:szCs w:val="22"/>
        </w:rPr>
        <w:t>The</w:t>
      </w:r>
      <w:r w:rsidR="009D1C29" w:rsidRPr="00001CA7">
        <w:rPr>
          <w:sz w:val="22"/>
          <w:szCs w:val="22"/>
        </w:rPr>
        <w:t xml:space="preserve"> Commission instituted the strict contour overlap prohibition</w:t>
      </w:r>
      <w:r w:rsidR="00EB5539" w:rsidRPr="00001CA7">
        <w:rPr>
          <w:sz w:val="22"/>
          <w:szCs w:val="22"/>
        </w:rPr>
        <w:t xml:space="preserve"> </w:t>
      </w:r>
      <w:r w:rsidR="009D1C29" w:rsidRPr="00001CA7">
        <w:rPr>
          <w:sz w:val="22"/>
          <w:szCs w:val="22"/>
        </w:rPr>
        <w:t>due to its concern over service duplication especially when</w:t>
      </w:r>
      <w:r w:rsidR="00330845" w:rsidRPr="00001CA7">
        <w:rPr>
          <w:sz w:val="22"/>
          <w:szCs w:val="22"/>
        </w:rPr>
        <w:t>,</w:t>
      </w:r>
      <w:r w:rsidR="009D1C29" w:rsidRPr="00001CA7">
        <w:rPr>
          <w:sz w:val="22"/>
          <w:szCs w:val="22"/>
        </w:rPr>
        <w:t xml:space="preserve"> as in this case, a party files </w:t>
      </w:r>
      <w:r w:rsidR="0038785F">
        <w:rPr>
          <w:sz w:val="22"/>
          <w:szCs w:val="22"/>
        </w:rPr>
        <w:t>multiple</w:t>
      </w:r>
      <w:r w:rsidR="009D1C29" w:rsidRPr="00001CA7">
        <w:rPr>
          <w:sz w:val="22"/>
          <w:szCs w:val="22"/>
        </w:rPr>
        <w:t xml:space="preserve"> application</w:t>
      </w:r>
      <w:r w:rsidR="0038785F">
        <w:rPr>
          <w:sz w:val="22"/>
          <w:szCs w:val="22"/>
        </w:rPr>
        <w:t>s</w:t>
      </w:r>
      <w:r w:rsidR="009D1C29" w:rsidRPr="00001CA7">
        <w:rPr>
          <w:sz w:val="22"/>
          <w:szCs w:val="22"/>
        </w:rPr>
        <w:t xml:space="preserve"> proposing to provide service to the same market.</w:t>
      </w:r>
      <w:r w:rsidR="009D1C29" w:rsidRPr="00001CA7">
        <w:rPr>
          <w:sz w:val="22"/>
          <w:szCs w:val="22"/>
          <w:vertAlign w:val="superscript"/>
        </w:rPr>
        <w:footnoteReference w:id="21"/>
      </w:r>
      <w:r w:rsidR="008F4B3D" w:rsidRPr="00001CA7">
        <w:rPr>
          <w:sz w:val="22"/>
          <w:szCs w:val="22"/>
        </w:rPr>
        <w:t xml:space="preserve"> </w:t>
      </w:r>
      <w:r w:rsidR="001E5794" w:rsidRPr="00001CA7">
        <w:rPr>
          <w:sz w:val="22"/>
          <w:szCs w:val="22"/>
        </w:rPr>
        <w:t xml:space="preserve"> </w:t>
      </w:r>
      <w:r w:rsidR="00C21985" w:rsidRPr="00001CA7">
        <w:rPr>
          <w:sz w:val="22"/>
          <w:szCs w:val="22"/>
        </w:rPr>
        <w:t>The Commission</w:t>
      </w:r>
      <w:r w:rsidR="001E5794" w:rsidRPr="00001CA7">
        <w:rPr>
          <w:sz w:val="22"/>
          <w:szCs w:val="22"/>
        </w:rPr>
        <w:t xml:space="preserve"> </w:t>
      </w:r>
      <w:r w:rsidR="00330845" w:rsidRPr="00001CA7">
        <w:rPr>
          <w:sz w:val="22"/>
          <w:szCs w:val="22"/>
        </w:rPr>
        <w:t xml:space="preserve">stated that it believed </w:t>
      </w:r>
      <w:r w:rsidR="0038785F">
        <w:rPr>
          <w:sz w:val="22"/>
          <w:szCs w:val="22"/>
        </w:rPr>
        <w:t xml:space="preserve">that this filing strategy provided opportunities </w:t>
      </w:r>
      <w:r w:rsidR="00330845" w:rsidRPr="00001CA7">
        <w:rPr>
          <w:sz w:val="22"/>
          <w:szCs w:val="22"/>
        </w:rPr>
        <w:t>to game the auction system or to obtain permits for the purpose of selling them</w:t>
      </w:r>
      <w:r w:rsidR="0038785F">
        <w:rPr>
          <w:sz w:val="22"/>
          <w:szCs w:val="22"/>
        </w:rPr>
        <w:t>.</w:t>
      </w:r>
      <w:r w:rsidR="00330845" w:rsidRPr="00001CA7">
        <w:rPr>
          <w:rStyle w:val="FootnoteReference"/>
          <w:sz w:val="22"/>
          <w:szCs w:val="22"/>
        </w:rPr>
        <w:footnoteReference w:id="22"/>
      </w:r>
      <w:r w:rsidR="00330845" w:rsidRPr="00001CA7">
        <w:rPr>
          <w:sz w:val="22"/>
          <w:szCs w:val="22"/>
        </w:rPr>
        <w:t xml:space="preserve">  </w:t>
      </w:r>
      <w:r w:rsidR="0038785F">
        <w:rPr>
          <w:sz w:val="22"/>
          <w:szCs w:val="22"/>
        </w:rPr>
        <w:t>I</w:t>
      </w:r>
      <w:r w:rsidR="00330845" w:rsidRPr="00001CA7">
        <w:rPr>
          <w:sz w:val="22"/>
          <w:szCs w:val="22"/>
        </w:rPr>
        <w:t xml:space="preserve">t </w:t>
      </w:r>
      <w:r w:rsidR="0038785F">
        <w:rPr>
          <w:sz w:val="22"/>
          <w:szCs w:val="22"/>
        </w:rPr>
        <w:t xml:space="preserve">also </w:t>
      </w:r>
      <w:r w:rsidR="00330845" w:rsidRPr="00001CA7">
        <w:rPr>
          <w:sz w:val="22"/>
          <w:szCs w:val="22"/>
        </w:rPr>
        <w:t>found</w:t>
      </w:r>
      <w:r w:rsidR="001E5794" w:rsidRPr="00001CA7">
        <w:rPr>
          <w:sz w:val="22"/>
          <w:szCs w:val="22"/>
        </w:rPr>
        <w:t xml:space="preserve"> that </w:t>
      </w:r>
      <w:r w:rsidR="0038785F">
        <w:rPr>
          <w:sz w:val="22"/>
          <w:szCs w:val="22"/>
        </w:rPr>
        <w:t>a</w:t>
      </w:r>
      <w:r w:rsidR="001E5794" w:rsidRPr="00001CA7">
        <w:rPr>
          <w:sz w:val="22"/>
          <w:szCs w:val="22"/>
        </w:rPr>
        <w:t xml:space="preserve"> significant number of </w:t>
      </w:r>
      <w:r w:rsidR="0038785F">
        <w:rPr>
          <w:sz w:val="22"/>
          <w:szCs w:val="22"/>
        </w:rPr>
        <w:t>translator</w:t>
      </w:r>
      <w:r w:rsidR="001E5794" w:rsidRPr="00001CA7">
        <w:rPr>
          <w:sz w:val="22"/>
          <w:szCs w:val="22"/>
        </w:rPr>
        <w:t xml:space="preserve"> stations</w:t>
      </w:r>
      <w:r w:rsidR="0038785F">
        <w:rPr>
          <w:sz w:val="22"/>
          <w:szCs w:val="22"/>
        </w:rPr>
        <w:t xml:space="preserve"> authorized out of Auction 83</w:t>
      </w:r>
      <w:r w:rsidR="001E5794" w:rsidRPr="00001CA7">
        <w:rPr>
          <w:sz w:val="22"/>
          <w:szCs w:val="22"/>
        </w:rPr>
        <w:t xml:space="preserve"> were either assigned to another party or never constructed</w:t>
      </w:r>
      <w:r w:rsidR="0038785F">
        <w:rPr>
          <w:sz w:val="22"/>
          <w:szCs w:val="22"/>
        </w:rPr>
        <w:t>, and that this conduct raised concerns about whether the applications had been filed with</w:t>
      </w:r>
      <w:r w:rsidR="001E5794" w:rsidRPr="00001CA7">
        <w:rPr>
          <w:sz w:val="22"/>
          <w:szCs w:val="22"/>
        </w:rPr>
        <w:t xml:space="preserve"> a good faith intent to construct and operate the proposed stations.</w:t>
      </w:r>
      <w:r w:rsidR="001E5794" w:rsidRPr="00001CA7">
        <w:rPr>
          <w:rStyle w:val="FootnoteReference"/>
          <w:sz w:val="22"/>
          <w:szCs w:val="22"/>
        </w:rPr>
        <w:footnoteReference w:id="23"/>
      </w:r>
      <w:r w:rsidR="001E5794" w:rsidRPr="00001CA7">
        <w:rPr>
          <w:sz w:val="22"/>
          <w:szCs w:val="22"/>
        </w:rPr>
        <w:t xml:space="preserve">  The Commission therefore sought to “limit substantially the opportunity to warehouse and traffic in translator authorizations </w:t>
      </w:r>
      <w:r w:rsidR="00001CA7" w:rsidRPr="00001CA7">
        <w:rPr>
          <w:sz w:val="22"/>
          <w:szCs w:val="22"/>
        </w:rPr>
        <w:t>while promoting diversity goals</w:t>
      </w:r>
      <w:r w:rsidR="001E5794" w:rsidRPr="00001CA7">
        <w:rPr>
          <w:sz w:val="22"/>
          <w:szCs w:val="22"/>
        </w:rPr>
        <w:t>”</w:t>
      </w:r>
      <w:r w:rsidR="001E5794" w:rsidRPr="00001CA7">
        <w:rPr>
          <w:rStyle w:val="FootnoteReference"/>
          <w:sz w:val="22"/>
          <w:szCs w:val="22"/>
        </w:rPr>
        <w:footnoteReference w:id="24"/>
      </w:r>
      <w:r w:rsidR="00001CA7" w:rsidRPr="00001CA7">
        <w:rPr>
          <w:sz w:val="22"/>
          <w:szCs w:val="22"/>
        </w:rPr>
        <w:t xml:space="preserve"> and to “[balance</w:t>
      </w:r>
      <w:r w:rsidR="00001CA7">
        <w:rPr>
          <w:sz w:val="22"/>
          <w:szCs w:val="22"/>
        </w:rPr>
        <w:t>]</w:t>
      </w:r>
      <w:r w:rsidR="00001CA7" w:rsidRPr="00001CA7">
        <w:rPr>
          <w:sz w:val="22"/>
          <w:szCs w:val="22"/>
        </w:rPr>
        <w:t xml:space="preserve"> </w:t>
      </w:r>
      <w:r w:rsidR="00001CA7" w:rsidRPr="00001CA7">
        <w:rPr>
          <w:color w:val="010101"/>
          <w:sz w:val="22"/>
          <w:szCs w:val="22"/>
        </w:rPr>
        <w:t>the competing</w:t>
      </w:r>
      <w:r w:rsidR="00001CA7">
        <w:rPr>
          <w:color w:val="010101"/>
          <w:sz w:val="22"/>
          <w:szCs w:val="22"/>
        </w:rPr>
        <w:t xml:space="preserve"> </w:t>
      </w:r>
      <w:r w:rsidR="00001CA7" w:rsidRPr="00001CA7">
        <w:rPr>
          <w:color w:val="010101"/>
          <w:sz w:val="22"/>
          <w:szCs w:val="22"/>
        </w:rPr>
        <w:t>interests of adding new service to underserved areas by translators versus preserving the integrity of our</w:t>
      </w:r>
      <w:r w:rsidR="00001CA7">
        <w:rPr>
          <w:color w:val="010101"/>
          <w:sz w:val="22"/>
          <w:szCs w:val="22"/>
        </w:rPr>
        <w:t xml:space="preserve"> </w:t>
      </w:r>
      <w:r w:rsidR="00001CA7" w:rsidRPr="00001CA7">
        <w:rPr>
          <w:color w:val="010101"/>
          <w:sz w:val="22"/>
          <w:szCs w:val="22"/>
        </w:rPr>
        <w:t>licensing process by dismissing applications filed for speculative reasons or to skew our auction</w:t>
      </w:r>
      <w:r w:rsidR="00001CA7">
        <w:rPr>
          <w:color w:val="010101"/>
          <w:sz w:val="22"/>
          <w:szCs w:val="22"/>
        </w:rPr>
        <w:t xml:space="preserve"> </w:t>
      </w:r>
      <w:r w:rsidR="00001CA7" w:rsidRPr="00001CA7">
        <w:rPr>
          <w:color w:val="010101"/>
          <w:sz w:val="22"/>
          <w:szCs w:val="22"/>
        </w:rPr>
        <w:t>procedures.</w:t>
      </w:r>
      <w:r w:rsidR="0020381C">
        <w:rPr>
          <w:color w:val="010101"/>
          <w:sz w:val="22"/>
          <w:szCs w:val="22"/>
        </w:rPr>
        <w:t>”</w:t>
      </w:r>
      <w:r w:rsidR="0020381C">
        <w:rPr>
          <w:rStyle w:val="FootnoteReference"/>
          <w:color w:val="010101"/>
          <w:sz w:val="22"/>
          <w:szCs w:val="22"/>
        </w:rPr>
        <w:footnoteReference w:id="25"/>
      </w:r>
      <w:r w:rsidR="00286C78" w:rsidRPr="00001CA7">
        <w:rPr>
          <w:sz w:val="22"/>
          <w:szCs w:val="22"/>
        </w:rPr>
        <w:t xml:space="preserve">  Accordingly, when the Commission instituted the relaxed limit of three applications per market, it clearly stated that </w:t>
      </w:r>
      <w:r w:rsidR="0038785F">
        <w:rPr>
          <w:sz w:val="22"/>
          <w:szCs w:val="22"/>
        </w:rPr>
        <w:t xml:space="preserve">the higher cap </w:t>
      </w:r>
      <w:r w:rsidR="00286C78" w:rsidRPr="00286C78">
        <w:rPr>
          <w:sz w:val="22"/>
          <w:szCs w:val="22"/>
        </w:rPr>
        <w:t xml:space="preserve">would only apply </w:t>
      </w:r>
      <w:r w:rsidR="0038785F">
        <w:rPr>
          <w:sz w:val="22"/>
          <w:szCs w:val="22"/>
        </w:rPr>
        <w:t>if</w:t>
      </w:r>
      <w:r w:rsidR="00286C78" w:rsidRPr="00286C78">
        <w:rPr>
          <w:sz w:val="22"/>
          <w:szCs w:val="22"/>
        </w:rPr>
        <w:t xml:space="preserve"> applications meet the “no overlap” and grid-protection requirements.</w:t>
      </w:r>
    </w:p>
    <w:p w:rsidR="00C21985" w:rsidRDefault="00286C78" w:rsidP="00EA24FF">
      <w:pPr>
        <w:autoSpaceDE w:val="0"/>
        <w:autoSpaceDN w:val="0"/>
        <w:adjustRightInd w:val="0"/>
        <w:rPr>
          <w:sz w:val="22"/>
          <w:szCs w:val="22"/>
        </w:rPr>
      </w:pPr>
      <w:r w:rsidRPr="00286C78">
        <w:rPr>
          <w:sz w:val="22"/>
          <w:szCs w:val="22"/>
        </w:rPr>
        <w:t xml:space="preserve">  </w:t>
      </w:r>
      <w:r w:rsidR="00B2461E" w:rsidRPr="00C21985">
        <w:rPr>
          <w:sz w:val="22"/>
          <w:szCs w:val="22"/>
        </w:rPr>
        <w:tab/>
      </w:r>
      <w:r w:rsidR="009D1C29" w:rsidRPr="00C21985">
        <w:rPr>
          <w:sz w:val="22"/>
          <w:szCs w:val="22"/>
        </w:rPr>
        <w:t>Notwithstanding Sam-Sno’s argument</w:t>
      </w:r>
      <w:r w:rsidR="00464631" w:rsidRPr="00C21985">
        <w:rPr>
          <w:sz w:val="22"/>
          <w:szCs w:val="22"/>
        </w:rPr>
        <w:t>s</w:t>
      </w:r>
      <w:r w:rsidR="009D1C29" w:rsidRPr="00C21985">
        <w:rPr>
          <w:sz w:val="22"/>
          <w:szCs w:val="22"/>
        </w:rPr>
        <w:t xml:space="preserve"> </w:t>
      </w:r>
      <w:r w:rsidR="00464631" w:rsidRPr="00C21985">
        <w:rPr>
          <w:sz w:val="22"/>
          <w:szCs w:val="22"/>
        </w:rPr>
        <w:t>that the</w:t>
      </w:r>
      <w:r w:rsidR="009959DD" w:rsidRPr="00C21985">
        <w:rPr>
          <w:sz w:val="22"/>
          <w:szCs w:val="22"/>
        </w:rPr>
        <w:t xml:space="preserve"> </w:t>
      </w:r>
      <w:r w:rsidR="009D1C29" w:rsidRPr="00C21985">
        <w:rPr>
          <w:sz w:val="22"/>
          <w:szCs w:val="22"/>
        </w:rPr>
        <w:t xml:space="preserve">McCleary and North Olympia Applications propose to serve different </w:t>
      </w:r>
      <w:r w:rsidR="00CD2639" w:rsidRPr="00C21985">
        <w:rPr>
          <w:sz w:val="22"/>
          <w:szCs w:val="22"/>
        </w:rPr>
        <w:t>“</w:t>
      </w:r>
      <w:r w:rsidR="009D1C29" w:rsidRPr="00C21985">
        <w:rPr>
          <w:sz w:val="22"/>
          <w:szCs w:val="22"/>
        </w:rPr>
        <w:t>areas</w:t>
      </w:r>
      <w:r w:rsidR="00CD2639" w:rsidRPr="00C21985">
        <w:rPr>
          <w:sz w:val="22"/>
          <w:szCs w:val="22"/>
        </w:rPr>
        <w:t>”</w:t>
      </w:r>
      <w:r w:rsidR="009D1C29" w:rsidRPr="00C21985">
        <w:rPr>
          <w:sz w:val="22"/>
          <w:szCs w:val="22"/>
        </w:rPr>
        <w:t xml:space="preserve"> within the Seattle marke</w:t>
      </w:r>
      <w:r w:rsidR="00464631" w:rsidRPr="00C21985">
        <w:rPr>
          <w:sz w:val="22"/>
          <w:szCs w:val="22"/>
        </w:rPr>
        <w:t>t and have “</w:t>
      </w:r>
      <w:r w:rsidR="00464631" w:rsidRPr="00C21985">
        <w:rPr>
          <w:i/>
          <w:sz w:val="22"/>
          <w:szCs w:val="22"/>
        </w:rPr>
        <w:t>de minimis</w:t>
      </w:r>
      <w:r w:rsidR="00464631" w:rsidRPr="00C21985">
        <w:rPr>
          <w:sz w:val="22"/>
          <w:szCs w:val="22"/>
        </w:rPr>
        <w:t>” overlap</w:t>
      </w:r>
      <w:r w:rsidR="00C21985" w:rsidRPr="00C21985">
        <w:rPr>
          <w:sz w:val="22"/>
          <w:szCs w:val="22"/>
        </w:rPr>
        <w:t xml:space="preserve">, </w:t>
      </w:r>
      <w:r w:rsidR="008A3529" w:rsidRPr="00C21985">
        <w:rPr>
          <w:sz w:val="22"/>
          <w:szCs w:val="22"/>
        </w:rPr>
        <w:t>there are no “special circumstances” here that would warrant a deviation from the general rule</w:t>
      </w:r>
      <w:r w:rsidR="004E3984">
        <w:rPr>
          <w:sz w:val="22"/>
          <w:szCs w:val="22"/>
        </w:rPr>
        <w:t>.  As an initial matter, the Commission did not establish a “</w:t>
      </w:r>
      <w:r w:rsidR="004E3984">
        <w:rPr>
          <w:i/>
          <w:sz w:val="22"/>
          <w:szCs w:val="22"/>
        </w:rPr>
        <w:t xml:space="preserve">de minimis” </w:t>
      </w:r>
      <w:r w:rsidR="004E3984">
        <w:rPr>
          <w:sz w:val="22"/>
          <w:szCs w:val="22"/>
        </w:rPr>
        <w:t>processing standard.</w:t>
      </w:r>
      <w:r w:rsidR="00B912ED">
        <w:rPr>
          <w:sz w:val="22"/>
          <w:szCs w:val="22"/>
        </w:rPr>
        <w:t xml:space="preserve">  </w:t>
      </w:r>
      <w:r w:rsidR="000551A9" w:rsidRPr="00C21985">
        <w:rPr>
          <w:sz w:val="22"/>
          <w:szCs w:val="22"/>
        </w:rPr>
        <w:t>Moreover</w:t>
      </w:r>
      <w:r w:rsidR="00575502">
        <w:rPr>
          <w:sz w:val="22"/>
          <w:szCs w:val="22"/>
        </w:rPr>
        <w:t>,</w:t>
      </w:r>
      <w:r w:rsidR="000551A9" w:rsidRPr="00C21985">
        <w:rPr>
          <w:sz w:val="22"/>
          <w:szCs w:val="22"/>
        </w:rPr>
        <w:t xml:space="preserve"> we cannot find that deviation from the contour overlap prohibition here</w:t>
      </w:r>
      <w:r w:rsidR="00464631" w:rsidRPr="00C21985">
        <w:rPr>
          <w:sz w:val="22"/>
          <w:szCs w:val="22"/>
        </w:rPr>
        <w:t xml:space="preserve"> w</w:t>
      </w:r>
      <w:r w:rsidR="00B912ED">
        <w:rPr>
          <w:sz w:val="22"/>
          <w:szCs w:val="22"/>
        </w:rPr>
        <w:t xml:space="preserve">ould serve the public interest.  </w:t>
      </w:r>
      <w:r w:rsidR="004E3984">
        <w:rPr>
          <w:sz w:val="22"/>
          <w:szCs w:val="22"/>
        </w:rPr>
        <w:t>Based on its concerns about the conduct exhibited previously by a number of Auction 83 participants, the Commission concluded that a strict “no overlap” policy was necessary to preserve the integrity of the licensing process and to efficiently process the remaining applications.</w:t>
      </w:r>
      <w:r w:rsidR="004E3984">
        <w:rPr>
          <w:rStyle w:val="FootnoteReference"/>
          <w:sz w:val="22"/>
          <w:szCs w:val="22"/>
        </w:rPr>
        <w:footnoteReference w:id="26"/>
      </w:r>
      <w:r w:rsidR="004E3984">
        <w:rPr>
          <w:sz w:val="22"/>
          <w:szCs w:val="22"/>
        </w:rPr>
        <w:t xml:space="preserve">  Those considerations apply here.  </w:t>
      </w:r>
      <w:r w:rsidR="00B26A35" w:rsidRPr="00C21985">
        <w:rPr>
          <w:sz w:val="22"/>
          <w:szCs w:val="22"/>
        </w:rPr>
        <w:t>Accordingly, we cannot find that waiver would serve the public interest</w:t>
      </w:r>
      <w:r w:rsidR="00C21985">
        <w:rPr>
          <w:sz w:val="22"/>
          <w:szCs w:val="22"/>
        </w:rPr>
        <w:t>.</w:t>
      </w:r>
      <w:r w:rsidR="00C21985">
        <w:rPr>
          <w:rStyle w:val="FootnoteReference"/>
          <w:sz w:val="22"/>
          <w:szCs w:val="22"/>
        </w:rPr>
        <w:t xml:space="preserve">  </w:t>
      </w:r>
      <w:bookmarkStart w:id="44" w:name="FN[FN78]"/>
      <w:bookmarkEnd w:id="44"/>
    </w:p>
    <w:p w:rsidR="00575502" w:rsidRPr="00C21985" w:rsidRDefault="00575502" w:rsidP="00BB204B">
      <w:pPr>
        <w:rPr>
          <w:sz w:val="22"/>
          <w:szCs w:val="22"/>
        </w:rPr>
      </w:pPr>
    </w:p>
    <w:p w:rsidR="00BB204B" w:rsidRDefault="009D1C29" w:rsidP="00BB204B">
      <w:pPr>
        <w:rPr>
          <w:sz w:val="22"/>
          <w:szCs w:val="22"/>
        </w:rPr>
      </w:pPr>
      <w:r w:rsidRPr="00C21985">
        <w:rPr>
          <w:sz w:val="22"/>
          <w:szCs w:val="22"/>
        </w:rPr>
        <w:t xml:space="preserve">             </w:t>
      </w:r>
      <w:r w:rsidR="004F59C0" w:rsidRPr="00C21985">
        <w:rPr>
          <w:b/>
          <w:sz w:val="22"/>
          <w:szCs w:val="22"/>
        </w:rPr>
        <w:t>Con</w:t>
      </w:r>
      <w:r w:rsidR="00BB204B" w:rsidRPr="00C21985">
        <w:rPr>
          <w:b/>
          <w:sz w:val="22"/>
          <w:szCs w:val="22"/>
        </w:rPr>
        <w:t>clusion/Actions</w:t>
      </w:r>
      <w:r w:rsidR="00BB204B" w:rsidRPr="00C21985">
        <w:rPr>
          <w:sz w:val="22"/>
          <w:szCs w:val="22"/>
        </w:rPr>
        <w:t>.</w:t>
      </w:r>
      <w:r w:rsidR="00BB204B" w:rsidRPr="00BB204B">
        <w:rPr>
          <w:sz w:val="22"/>
          <w:szCs w:val="22"/>
        </w:rPr>
        <w:t xml:space="preserve">  Accordingly, </w:t>
      </w:r>
      <w:bookmarkStart w:id="45" w:name="SR;3654"/>
      <w:bookmarkEnd w:id="45"/>
      <w:r w:rsidR="00BB204B" w:rsidRPr="00BB204B">
        <w:rPr>
          <w:sz w:val="22"/>
          <w:szCs w:val="22"/>
        </w:rPr>
        <w:t xml:space="preserve">for the reasons set forth above, IT </w:t>
      </w:r>
      <w:bookmarkStart w:id="46" w:name="SR;3655"/>
      <w:bookmarkEnd w:id="46"/>
      <w:r w:rsidR="00BB204B" w:rsidRPr="00BB204B">
        <w:rPr>
          <w:sz w:val="22"/>
          <w:szCs w:val="22"/>
        </w:rPr>
        <w:t xml:space="preserve">IS </w:t>
      </w:r>
      <w:bookmarkStart w:id="47" w:name="SR;3656"/>
      <w:bookmarkEnd w:id="47"/>
      <w:r w:rsidR="00BB204B" w:rsidRPr="00BB204B">
        <w:rPr>
          <w:sz w:val="22"/>
          <w:szCs w:val="22"/>
        </w:rPr>
        <w:t xml:space="preserve">ORDERED, that the </w:t>
      </w:r>
      <w:bookmarkStart w:id="48" w:name="SR;3659"/>
      <w:bookmarkEnd w:id="48"/>
      <w:r w:rsidR="00087C2E">
        <w:rPr>
          <w:sz w:val="22"/>
          <w:szCs w:val="22"/>
        </w:rPr>
        <w:t xml:space="preserve">January 10, 2013, </w:t>
      </w:r>
      <w:r w:rsidR="00BB204B" w:rsidRPr="00BB204B">
        <w:rPr>
          <w:sz w:val="22"/>
          <w:szCs w:val="22"/>
        </w:rPr>
        <w:t xml:space="preserve">Waiver Request of </w:t>
      </w:r>
      <w:r w:rsidR="00E6675F">
        <w:rPr>
          <w:sz w:val="22"/>
          <w:szCs w:val="22"/>
        </w:rPr>
        <w:t>Sam-Sno Educational Media</w:t>
      </w:r>
      <w:r w:rsidR="00BB204B" w:rsidRPr="00BB204B">
        <w:rPr>
          <w:sz w:val="22"/>
          <w:szCs w:val="22"/>
        </w:rPr>
        <w:t xml:space="preserve"> IS </w:t>
      </w:r>
      <w:bookmarkStart w:id="49" w:name="SR;3666"/>
      <w:bookmarkEnd w:id="49"/>
      <w:r w:rsidR="00BB204B" w:rsidRPr="00BB204B">
        <w:rPr>
          <w:sz w:val="22"/>
          <w:szCs w:val="22"/>
        </w:rPr>
        <w:t>DENIED.</w:t>
      </w:r>
    </w:p>
    <w:p w:rsidR="00575502" w:rsidRDefault="00575502" w:rsidP="00BB204B">
      <w:pPr>
        <w:rPr>
          <w:sz w:val="22"/>
          <w:szCs w:val="22"/>
        </w:rPr>
      </w:pPr>
    </w:p>
    <w:p w:rsidR="004430E4" w:rsidRDefault="00C414C6" w:rsidP="00BB204B">
      <w:pPr>
        <w:rPr>
          <w:sz w:val="22"/>
          <w:szCs w:val="22"/>
        </w:rPr>
      </w:pPr>
      <w:r>
        <w:rPr>
          <w:sz w:val="22"/>
          <w:szCs w:val="22"/>
        </w:rPr>
        <w:tab/>
      </w:r>
      <w:r w:rsidR="00AB24A2" w:rsidRPr="00AB24A2">
        <w:rPr>
          <w:sz w:val="22"/>
          <w:szCs w:val="22"/>
        </w:rPr>
        <w:t>IT IS FURTHER ORDERED</w:t>
      </w:r>
      <w:r w:rsidR="007B081A">
        <w:rPr>
          <w:sz w:val="22"/>
          <w:szCs w:val="22"/>
        </w:rPr>
        <w:t>,</w:t>
      </w:r>
      <w:r w:rsidR="00AB24A2" w:rsidRPr="00AB24A2">
        <w:rPr>
          <w:sz w:val="22"/>
          <w:szCs w:val="22"/>
        </w:rPr>
        <w:t xml:space="preserve"> that the application (</w:t>
      </w:r>
      <w:r w:rsidR="00AB24A2" w:rsidRPr="00AB24A2">
        <w:rPr>
          <w:bCs/>
          <w:sz w:val="22"/>
          <w:szCs w:val="22"/>
          <w:lang w:val="es-ES"/>
        </w:rPr>
        <w:t>File No. BNPFT-20030312BEX</w:t>
      </w:r>
      <w:r w:rsidR="00AB24A2" w:rsidRPr="00AB24A2">
        <w:rPr>
          <w:sz w:val="22"/>
          <w:szCs w:val="22"/>
        </w:rPr>
        <w:t>)</w:t>
      </w:r>
      <w:r w:rsidR="00AB24A2">
        <w:rPr>
          <w:sz w:val="22"/>
          <w:szCs w:val="22"/>
        </w:rPr>
        <w:t xml:space="preserve"> </w:t>
      </w:r>
      <w:r w:rsidR="00AB24A2" w:rsidRPr="00AB24A2">
        <w:rPr>
          <w:sz w:val="22"/>
          <w:szCs w:val="22"/>
        </w:rPr>
        <w:t xml:space="preserve">of Sam-Sno Educational Media for construction permit for a new FM translator station at </w:t>
      </w:r>
      <w:r w:rsidR="00AB24A2">
        <w:rPr>
          <w:sz w:val="22"/>
          <w:szCs w:val="22"/>
        </w:rPr>
        <w:t>McCleary</w:t>
      </w:r>
      <w:r w:rsidR="00AB24A2" w:rsidRPr="00AB24A2">
        <w:rPr>
          <w:sz w:val="22"/>
          <w:szCs w:val="22"/>
        </w:rPr>
        <w:t xml:space="preserve">, Washington, IS </w:t>
      </w:r>
      <w:r w:rsidR="00AB24A2">
        <w:rPr>
          <w:sz w:val="22"/>
          <w:szCs w:val="22"/>
        </w:rPr>
        <w:t>DISMISSED</w:t>
      </w:r>
      <w:r w:rsidR="00AB24A2" w:rsidRPr="00AB24A2">
        <w:rPr>
          <w:sz w:val="22"/>
          <w:szCs w:val="22"/>
        </w:rPr>
        <w:t>.</w:t>
      </w:r>
      <w:r w:rsidR="006552D3">
        <w:rPr>
          <w:sz w:val="22"/>
          <w:szCs w:val="22"/>
        </w:rPr>
        <w:t xml:space="preserve">  </w:t>
      </w:r>
      <w:r w:rsidR="004951A9">
        <w:rPr>
          <w:sz w:val="22"/>
          <w:szCs w:val="22"/>
        </w:rPr>
        <w:t>T</w:t>
      </w:r>
      <w:r w:rsidR="004951A9" w:rsidRPr="00487479">
        <w:rPr>
          <w:sz w:val="22"/>
          <w:szCs w:val="22"/>
        </w:rPr>
        <w:t xml:space="preserve">he </w:t>
      </w:r>
      <w:r w:rsidR="004951A9">
        <w:rPr>
          <w:sz w:val="22"/>
          <w:szCs w:val="22"/>
        </w:rPr>
        <w:t xml:space="preserve">staff will continue processing the </w:t>
      </w:r>
      <w:r w:rsidR="004951A9" w:rsidRPr="00487479">
        <w:rPr>
          <w:sz w:val="22"/>
          <w:szCs w:val="22"/>
        </w:rPr>
        <w:t>application (</w:t>
      </w:r>
      <w:r w:rsidR="004951A9" w:rsidRPr="00487479">
        <w:rPr>
          <w:bCs/>
          <w:sz w:val="22"/>
          <w:szCs w:val="22"/>
          <w:lang w:val="es-ES"/>
        </w:rPr>
        <w:t>File No. BNPFT-20030314CJX</w:t>
      </w:r>
      <w:r w:rsidR="004951A9" w:rsidRPr="00487479">
        <w:rPr>
          <w:sz w:val="22"/>
          <w:szCs w:val="22"/>
        </w:rPr>
        <w:t>) of</w:t>
      </w:r>
    </w:p>
    <w:p w:rsidR="00FC4814" w:rsidRDefault="004951A9" w:rsidP="00BB204B">
      <w:pPr>
        <w:rPr>
          <w:sz w:val="22"/>
          <w:szCs w:val="22"/>
        </w:rPr>
      </w:pPr>
      <w:r w:rsidRPr="00487479">
        <w:rPr>
          <w:sz w:val="22"/>
          <w:szCs w:val="22"/>
        </w:rPr>
        <w:t>Sam-Sno Educational Media for construction permit for a new FM translator station at North Olympia, Washington</w:t>
      </w:r>
      <w:r>
        <w:rPr>
          <w:sz w:val="22"/>
          <w:szCs w:val="22"/>
        </w:rPr>
        <w:t>.</w:t>
      </w:r>
      <w:bookmarkStart w:id="50" w:name="SR;1878"/>
      <w:bookmarkStart w:id="51" w:name="SR;1906"/>
      <w:bookmarkStart w:id="52" w:name="SR;1908"/>
      <w:bookmarkStart w:id="53" w:name="SR;1914"/>
      <w:bookmarkStart w:id="54" w:name="FN[FN33]"/>
      <w:bookmarkStart w:id="55" w:name="FN[FN34]"/>
      <w:bookmarkStart w:id="56" w:name="SR;1491"/>
      <w:bookmarkEnd w:id="50"/>
      <w:bookmarkEnd w:id="51"/>
      <w:bookmarkEnd w:id="52"/>
      <w:bookmarkEnd w:id="53"/>
      <w:bookmarkEnd w:id="54"/>
      <w:bookmarkEnd w:id="55"/>
      <w:bookmarkEnd w:id="56"/>
      <w:r w:rsidR="00BB204B" w:rsidRPr="00BB204B">
        <w:rPr>
          <w:sz w:val="22"/>
          <w:szCs w:val="22"/>
        </w:rPr>
        <w:t xml:space="preserve">          </w:t>
      </w:r>
    </w:p>
    <w:p w:rsidR="004430E4" w:rsidRDefault="00FC4814" w:rsidP="00BB204B">
      <w:pPr>
        <w:rPr>
          <w:sz w:val="22"/>
          <w:szCs w:val="22"/>
        </w:rPr>
      </w:pPr>
      <w:r>
        <w:rPr>
          <w:sz w:val="22"/>
          <w:szCs w:val="22"/>
        </w:rPr>
        <w:tab/>
      </w:r>
      <w:r>
        <w:rPr>
          <w:sz w:val="22"/>
          <w:szCs w:val="22"/>
        </w:rPr>
        <w:tab/>
      </w:r>
      <w:r w:rsidR="00DC267B">
        <w:rPr>
          <w:sz w:val="22"/>
          <w:szCs w:val="22"/>
        </w:rPr>
        <w:tab/>
      </w:r>
      <w:r w:rsidR="00DC267B">
        <w:rPr>
          <w:sz w:val="22"/>
          <w:szCs w:val="22"/>
        </w:rPr>
        <w:tab/>
      </w:r>
      <w:r w:rsidR="00DC267B">
        <w:rPr>
          <w:sz w:val="22"/>
          <w:szCs w:val="22"/>
        </w:rPr>
        <w:tab/>
      </w:r>
      <w:r w:rsidR="00DC267B">
        <w:rPr>
          <w:sz w:val="22"/>
          <w:szCs w:val="22"/>
        </w:rPr>
        <w:tab/>
      </w:r>
      <w:r w:rsidR="008F2A23">
        <w:rPr>
          <w:sz w:val="22"/>
          <w:szCs w:val="22"/>
        </w:rPr>
        <w:tab/>
      </w:r>
    </w:p>
    <w:p w:rsidR="00BB204B" w:rsidRPr="00BB204B" w:rsidRDefault="004430E4" w:rsidP="00BB204B">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BB204B" w:rsidRPr="00BB204B">
        <w:rPr>
          <w:sz w:val="22"/>
          <w:szCs w:val="22"/>
        </w:rPr>
        <w:t>Sincerely,</w:t>
      </w:r>
    </w:p>
    <w:p w:rsidR="00C21985" w:rsidRDefault="00C21985" w:rsidP="00BB204B">
      <w:pPr>
        <w:rPr>
          <w:sz w:val="22"/>
          <w:szCs w:val="22"/>
        </w:rPr>
      </w:pPr>
    </w:p>
    <w:p w:rsidR="00BB204B" w:rsidRDefault="00BB204B" w:rsidP="00BB204B">
      <w:pPr>
        <w:rPr>
          <w:sz w:val="22"/>
          <w:szCs w:val="22"/>
        </w:rPr>
      </w:pPr>
      <w:r w:rsidRPr="00BB204B">
        <w:rPr>
          <w:sz w:val="22"/>
          <w:szCs w:val="22"/>
        </w:rPr>
        <w:t xml:space="preserve">     </w:t>
      </w:r>
      <w:r w:rsidRPr="00BB204B">
        <w:rPr>
          <w:sz w:val="22"/>
          <w:szCs w:val="22"/>
        </w:rPr>
        <w:tab/>
      </w:r>
      <w:r w:rsidRPr="00BB204B">
        <w:rPr>
          <w:sz w:val="22"/>
          <w:szCs w:val="22"/>
        </w:rPr>
        <w:tab/>
      </w:r>
      <w:r w:rsidRPr="00BB204B">
        <w:rPr>
          <w:sz w:val="22"/>
          <w:szCs w:val="22"/>
        </w:rPr>
        <w:tab/>
        <w:t xml:space="preserve"> </w:t>
      </w:r>
    </w:p>
    <w:p w:rsidR="00DC267B" w:rsidRPr="00BB204B" w:rsidRDefault="00DC267B" w:rsidP="00BB204B">
      <w:pPr>
        <w:rPr>
          <w:sz w:val="22"/>
          <w:szCs w:val="22"/>
        </w:rPr>
      </w:pPr>
    </w:p>
    <w:p w:rsidR="00BB204B" w:rsidRPr="00BB204B" w:rsidRDefault="00BB204B" w:rsidP="00BB204B">
      <w:pPr>
        <w:rPr>
          <w:sz w:val="22"/>
          <w:szCs w:val="22"/>
        </w:rPr>
      </w:pPr>
      <w:r w:rsidRPr="00BB204B">
        <w:rPr>
          <w:sz w:val="22"/>
          <w:szCs w:val="22"/>
        </w:rPr>
        <w:tab/>
      </w:r>
      <w:r w:rsidR="008F2A23">
        <w:rPr>
          <w:sz w:val="22"/>
          <w:szCs w:val="22"/>
        </w:rPr>
        <w:tab/>
      </w:r>
      <w:r w:rsidR="008F2A23">
        <w:rPr>
          <w:sz w:val="22"/>
          <w:szCs w:val="22"/>
        </w:rPr>
        <w:tab/>
      </w:r>
      <w:r w:rsidR="008F2A23">
        <w:rPr>
          <w:sz w:val="22"/>
          <w:szCs w:val="22"/>
        </w:rPr>
        <w:tab/>
      </w:r>
      <w:r w:rsidR="008F2A23">
        <w:rPr>
          <w:sz w:val="22"/>
          <w:szCs w:val="22"/>
        </w:rPr>
        <w:tab/>
      </w:r>
      <w:r w:rsidR="008F2A23">
        <w:rPr>
          <w:sz w:val="22"/>
          <w:szCs w:val="22"/>
        </w:rPr>
        <w:tab/>
      </w:r>
      <w:r w:rsidR="008F2A23">
        <w:rPr>
          <w:sz w:val="22"/>
          <w:szCs w:val="22"/>
        </w:rPr>
        <w:tab/>
      </w:r>
      <w:r w:rsidRPr="00BB204B">
        <w:rPr>
          <w:sz w:val="22"/>
          <w:szCs w:val="22"/>
        </w:rPr>
        <w:t>Peter H. Doyle</w:t>
      </w:r>
      <w:r w:rsidRPr="00BB204B">
        <w:rPr>
          <w:sz w:val="22"/>
          <w:szCs w:val="22"/>
        </w:rPr>
        <w:tab/>
        <w:t xml:space="preserve">    </w:t>
      </w:r>
      <w:r w:rsidRPr="00BB204B">
        <w:rPr>
          <w:sz w:val="22"/>
          <w:szCs w:val="22"/>
        </w:rPr>
        <w:tab/>
      </w:r>
      <w:r w:rsidRPr="00BB204B">
        <w:rPr>
          <w:sz w:val="22"/>
          <w:szCs w:val="22"/>
        </w:rPr>
        <w:tab/>
      </w:r>
      <w:r w:rsidRPr="00BB204B">
        <w:rPr>
          <w:sz w:val="22"/>
          <w:szCs w:val="22"/>
        </w:rPr>
        <w:tab/>
      </w:r>
      <w:r w:rsidRPr="00BB204B">
        <w:rPr>
          <w:sz w:val="22"/>
          <w:szCs w:val="22"/>
        </w:rPr>
        <w:tab/>
      </w:r>
      <w:r w:rsidR="008F2A23">
        <w:rPr>
          <w:sz w:val="22"/>
          <w:szCs w:val="22"/>
        </w:rPr>
        <w:tab/>
      </w:r>
      <w:r w:rsidR="008F2A23">
        <w:rPr>
          <w:sz w:val="22"/>
          <w:szCs w:val="22"/>
        </w:rPr>
        <w:tab/>
      </w:r>
      <w:r w:rsidR="008F2A23">
        <w:rPr>
          <w:sz w:val="22"/>
          <w:szCs w:val="22"/>
        </w:rPr>
        <w:tab/>
      </w:r>
      <w:r w:rsidR="008F2A23">
        <w:rPr>
          <w:sz w:val="22"/>
          <w:szCs w:val="22"/>
        </w:rPr>
        <w:tab/>
      </w:r>
      <w:r w:rsidR="008F2A23">
        <w:rPr>
          <w:sz w:val="22"/>
          <w:szCs w:val="22"/>
        </w:rPr>
        <w:tab/>
      </w:r>
      <w:r w:rsidR="008F2A23">
        <w:rPr>
          <w:sz w:val="22"/>
          <w:szCs w:val="22"/>
        </w:rPr>
        <w:tab/>
      </w:r>
      <w:r w:rsidR="008F2A23">
        <w:rPr>
          <w:sz w:val="22"/>
          <w:szCs w:val="22"/>
        </w:rPr>
        <w:tab/>
      </w:r>
      <w:r w:rsidRPr="00BB204B">
        <w:rPr>
          <w:sz w:val="22"/>
          <w:szCs w:val="22"/>
        </w:rPr>
        <w:t>Chief, Audio Division</w:t>
      </w:r>
    </w:p>
    <w:p w:rsidR="00BB204B" w:rsidRDefault="00BB204B" w:rsidP="00BB204B">
      <w:pPr>
        <w:rPr>
          <w:sz w:val="22"/>
          <w:szCs w:val="22"/>
          <w:lang w:val="es-ES_tradnl"/>
        </w:rPr>
      </w:pPr>
      <w:r w:rsidRPr="00BB204B">
        <w:rPr>
          <w:sz w:val="22"/>
          <w:szCs w:val="22"/>
        </w:rPr>
        <w:t xml:space="preserve">    </w:t>
      </w:r>
      <w:r w:rsidRPr="00BB204B">
        <w:rPr>
          <w:sz w:val="22"/>
          <w:szCs w:val="22"/>
        </w:rPr>
        <w:tab/>
      </w:r>
      <w:r w:rsidR="008F2A23">
        <w:rPr>
          <w:sz w:val="22"/>
          <w:szCs w:val="22"/>
        </w:rPr>
        <w:tab/>
      </w:r>
      <w:r w:rsidR="008F2A23">
        <w:rPr>
          <w:sz w:val="22"/>
          <w:szCs w:val="22"/>
        </w:rPr>
        <w:tab/>
      </w:r>
      <w:r w:rsidR="008F2A23">
        <w:rPr>
          <w:sz w:val="22"/>
          <w:szCs w:val="22"/>
        </w:rPr>
        <w:tab/>
      </w:r>
      <w:r w:rsidR="008F2A23">
        <w:rPr>
          <w:sz w:val="22"/>
          <w:szCs w:val="22"/>
        </w:rPr>
        <w:tab/>
      </w:r>
      <w:r w:rsidR="008F2A23">
        <w:rPr>
          <w:sz w:val="22"/>
          <w:szCs w:val="22"/>
        </w:rPr>
        <w:tab/>
      </w:r>
      <w:r w:rsidR="008F2A23">
        <w:rPr>
          <w:sz w:val="22"/>
          <w:szCs w:val="22"/>
        </w:rPr>
        <w:tab/>
      </w:r>
      <w:r w:rsidRPr="00BB204B">
        <w:rPr>
          <w:sz w:val="22"/>
          <w:szCs w:val="22"/>
          <w:lang w:val="es-ES_tradnl"/>
        </w:rPr>
        <w:t>Media Bureau</w:t>
      </w:r>
    </w:p>
    <w:sectPr w:rsidR="00BB204B">
      <w:headerReference w:type="even" r:id="rId7"/>
      <w:headerReference w:type="default" r:id="rId8"/>
      <w:footerReference w:type="even" r:id="rId9"/>
      <w:footerReference w:type="default" r:id="rId10"/>
      <w:headerReference w:type="first" r:id="rId11"/>
      <w:footerReference w:type="first" r:id="rId12"/>
      <w:pgSz w:w="12240" w:h="15840" w:code="1"/>
      <w:pgMar w:top="1987"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8C0" w:rsidRDefault="001538C0">
      <w:r>
        <w:separator/>
      </w:r>
    </w:p>
  </w:endnote>
  <w:endnote w:type="continuationSeparator" w:id="0">
    <w:p w:rsidR="001538C0" w:rsidRDefault="00153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A4D" w:rsidRDefault="00432A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1C8" w:rsidRDefault="00F521C8">
    <w:pPr>
      <w:pStyle w:val="Footer"/>
      <w:jc w:val="center"/>
    </w:pPr>
    <w:r>
      <w:fldChar w:fldCharType="begin"/>
    </w:r>
    <w:r>
      <w:instrText xml:space="preserve"> PAGE   \* MERGEFORMAT </w:instrText>
    </w:r>
    <w:r>
      <w:fldChar w:fldCharType="separate"/>
    </w:r>
    <w:r w:rsidR="00313F56">
      <w:rPr>
        <w:noProof/>
      </w:rPr>
      <w:t>2</w:t>
    </w:r>
    <w:r>
      <w:rPr>
        <w:noProof/>
      </w:rPr>
      <w:fldChar w:fldCharType="end"/>
    </w:r>
  </w:p>
  <w:p w:rsidR="00F521C8" w:rsidRDefault="00F521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A4D" w:rsidRDefault="00432A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8C0" w:rsidRDefault="001538C0">
      <w:r>
        <w:separator/>
      </w:r>
    </w:p>
  </w:footnote>
  <w:footnote w:type="continuationSeparator" w:id="0">
    <w:p w:rsidR="001538C0" w:rsidRDefault="001538C0">
      <w:r>
        <w:continuationSeparator/>
      </w:r>
    </w:p>
    <w:p w:rsidR="001538C0" w:rsidRDefault="001538C0">
      <w:r>
        <w:t>(Continued from previous page)</w:t>
      </w:r>
    </w:p>
  </w:footnote>
  <w:footnote w:type="continuationNotice" w:id="1">
    <w:p w:rsidR="001538C0" w:rsidRDefault="001538C0">
      <w:r>
        <w:t>(continued . . .)</w:t>
      </w:r>
    </w:p>
  </w:footnote>
  <w:footnote w:id="2">
    <w:p w:rsidR="003D53A4" w:rsidRPr="006872A5" w:rsidRDefault="003D53A4" w:rsidP="00513353">
      <w:pPr>
        <w:pStyle w:val="FootnoteText"/>
        <w:spacing w:after="120"/>
      </w:pPr>
      <w:r w:rsidRPr="006872A5">
        <w:rPr>
          <w:rStyle w:val="FootnoteReference"/>
        </w:rPr>
        <w:footnoteRef/>
      </w:r>
      <w:r w:rsidR="00513353" w:rsidRPr="006872A5">
        <w:t xml:space="preserve"> </w:t>
      </w:r>
      <w:hyperlink r:id="rId1" w:tgtFrame="_top" w:history="1">
        <w:r w:rsidRPr="006872A5">
          <w:rPr>
            <w:rStyle w:val="Hyperlink"/>
            <w:i/>
            <w:iCs/>
            <w:color w:val="auto"/>
            <w:u w:val="none"/>
          </w:rPr>
          <w:t>Creation of a Low Power Radio Service and Amendment of Service and Eligibility Rules for FM Broadcast Translator Stations</w:t>
        </w:r>
        <w:r w:rsidRPr="006872A5">
          <w:rPr>
            <w:rStyle w:val="Hyperlink"/>
            <w:color w:val="auto"/>
            <w:u w:val="none"/>
          </w:rPr>
          <w:t>, Fifth Order on Reconsideration and Sixth Report and Order, 27 FCC Rcd 15402 (2012)</w:t>
        </w:r>
      </w:hyperlink>
      <w:r w:rsidRPr="006872A5">
        <w:t xml:space="preserve"> (“</w:t>
      </w:r>
      <w:r w:rsidRPr="006872A5">
        <w:rPr>
          <w:i/>
          <w:iCs/>
        </w:rPr>
        <w:t>Fifth Order on Reconsideration</w:t>
      </w:r>
      <w:r w:rsidRPr="006872A5">
        <w:t>”).</w:t>
      </w:r>
    </w:p>
  </w:footnote>
  <w:footnote w:id="3">
    <w:p w:rsidR="00513353" w:rsidRPr="006872A5" w:rsidRDefault="00513353" w:rsidP="00513353">
      <w:pPr>
        <w:pStyle w:val="FootnoteText"/>
        <w:spacing w:after="120"/>
      </w:pPr>
      <w:r w:rsidRPr="006872A5">
        <w:rPr>
          <w:rStyle w:val="FootnoteReference"/>
        </w:rPr>
        <w:footnoteRef/>
      </w:r>
      <w:r w:rsidRPr="006872A5">
        <w:t xml:space="preserve"> </w:t>
      </w:r>
      <w:r w:rsidRPr="006872A5">
        <w:rPr>
          <w:i/>
          <w:iCs/>
        </w:rPr>
        <w:t xml:space="preserve">See </w:t>
      </w:r>
      <w:bookmarkStart w:id="1" w:name="SR;1111"/>
      <w:bookmarkEnd w:id="1"/>
      <w:r w:rsidRPr="006872A5">
        <w:fldChar w:fldCharType="begin"/>
      </w:r>
      <w:r w:rsidR="00313F56">
        <w:instrText>HYPERLINK "http://web2.westlaw.com/find/default.wl?mt=Westlaw&amp;db=0004493&amp;tc=-1&amp;rp=%2ffind%2fdefault.wl&amp;findtype=Y&amp;ordoc=2030146671&amp;serialnum=2003136688&amp;vr=2.0&amp;fn=_top&amp;sv=Split&amp;tf=-1&amp;pbc=33133162&amp;rs=WLW13.01" \t "_top"</w:instrText>
      </w:r>
      <w:r w:rsidRPr="006872A5">
        <w:fldChar w:fldCharType="separate"/>
      </w:r>
      <w:r w:rsidRPr="006872A5">
        <w:rPr>
          <w:rStyle w:val="Hyperlink"/>
          <w:bCs/>
          <w:i/>
          <w:iCs/>
          <w:color w:val="auto"/>
          <w:u w:val="none"/>
        </w:rPr>
        <w:t>FM</w:t>
      </w:r>
      <w:r w:rsidRPr="006872A5">
        <w:rPr>
          <w:rStyle w:val="Hyperlink"/>
          <w:i/>
          <w:iCs/>
          <w:color w:val="auto"/>
          <w:u w:val="none"/>
        </w:rPr>
        <w:t xml:space="preserve"> </w:t>
      </w:r>
      <w:r w:rsidRPr="006872A5">
        <w:rPr>
          <w:rStyle w:val="Hyperlink"/>
          <w:bCs/>
          <w:i/>
          <w:iCs/>
          <w:color w:val="auto"/>
          <w:u w:val="none"/>
        </w:rPr>
        <w:t>Translator</w:t>
      </w:r>
      <w:r w:rsidRPr="006872A5">
        <w:rPr>
          <w:rStyle w:val="Hyperlink"/>
          <w:i/>
          <w:iCs/>
          <w:color w:val="auto"/>
          <w:u w:val="none"/>
        </w:rPr>
        <w:t xml:space="preserve"> Auction </w:t>
      </w:r>
      <w:r w:rsidRPr="006872A5">
        <w:rPr>
          <w:rStyle w:val="Hyperlink"/>
          <w:bCs/>
          <w:i/>
          <w:iCs/>
          <w:color w:val="auto"/>
          <w:u w:val="none"/>
        </w:rPr>
        <w:t>Filing</w:t>
      </w:r>
      <w:r w:rsidRPr="006872A5">
        <w:rPr>
          <w:rStyle w:val="Hyperlink"/>
          <w:i/>
          <w:iCs/>
          <w:color w:val="auto"/>
          <w:u w:val="none"/>
        </w:rPr>
        <w:t xml:space="preserve"> Window and Application Freeze</w:t>
      </w:r>
      <w:r w:rsidRPr="006872A5">
        <w:rPr>
          <w:rStyle w:val="Hyperlink"/>
          <w:color w:val="auto"/>
          <w:u w:val="none"/>
        </w:rPr>
        <w:t xml:space="preserve">, </w:t>
      </w:r>
      <w:r w:rsidRPr="006872A5">
        <w:rPr>
          <w:rStyle w:val="Hyperlink"/>
          <w:bCs/>
          <w:color w:val="auto"/>
          <w:u w:val="none"/>
        </w:rPr>
        <w:t>Public</w:t>
      </w:r>
      <w:r w:rsidRPr="006872A5">
        <w:rPr>
          <w:rStyle w:val="Hyperlink"/>
          <w:color w:val="auto"/>
          <w:u w:val="none"/>
        </w:rPr>
        <w:t xml:space="preserve"> </w:t>
      </w:r>
      <w:r w:rsidRPr="006872A5">
        <w:rPr>
          <w:rStyle w:val="Hyperlink"/>
          <w:bCs/>
          <w:color w:val="auto"/>
          <w:u w:val="none"/>
        </w:rPr>
        <w:t>Notice</w:t>
      </w:r>
      <w:r w:rsidRPr="006872A5">
        <w:rPr>
          <w:rStyle w:val="Hyperlink"/>
          <w:color w:val="auto"/>
          <w:u w:val="none"/>
        </w:rPr>
        <w:t xml:space="preserve">, 18 FCC Rcd 1565 (MB/WTB </w:t>
      </w:r>
      <w:r w:rsidRPr="006872A5">
        <w:rPr>
          <w:rStyle w:val="Hyperlink"/>
          <w:bCs/>
          <w:color w:val="auto"/>
          <w:u w:val="none"/>
        </w:rPr>
        <w:t>2003</w:t>
      </w:r>
      <w:r w:rsidRPr="006872A5">
        <w:rPr>
          <w:rStyle w:val="Hyperlink"/>
          <w:color w:val="auto"/>
          <w:u w:val="none"/>
        </w:rPr>
        <w:t>)</w:t>
      </w:r>
      <w:r w:rsidRPr="006872A5">
        <w:fldChar w:fldCharType="end"/>
      </w:r>
      <w:r w:rsidRPr="006872A5">
        <w:t xml:space="preserve">.  The filing window was subsequently extended to March 17, 2003.  </w:t>
      </w:r>
      <w:bookmarkStart w:id="2" w:name="SR;1143"/>
      <w:bookmarkEnd w:id="2"/>
      <w:r w:rsidRPr="006872A5">
        <w:fldChar w:fldCharType="begin"/>
      </w:r>
      <w:r w:rsidR="00313F56">
        <w:instrText>HYPERLINK "http://web2.westlaw.com/find/default.wl?mt=Westlaw&amp;db=0004493&amp;tc=-1&amp;rp=%2ffind%2fdefault.wl&amp;findtype=Y&amp;ordoc=2030146671&amp;serialnum=2003197721&amp;vr=2.0&amp;fn=_top&amp;sv=Split&amp;tf=-1&amp;pbc=33133162&amp;rs=WLW13.01" \t "_top"</w:instrText>
      </w:r>
      <w:r w:rsidRPr="006872A5">
        <w:fldChar w:fldCharType="separate"/>
      </w:r>
      <w:r w:rsidRPr="006872A5">
        <w:rPr>
          <w:rStyle w:val="Hyperlink"/>
          <w:bCs/>
          <w:i/>
          <w:iCs/>
          <w:color w:val="auto"/>
          <w:u w:val="none"/>
        </w:rPr>
        <w:t>FM</w:t>
      </w:r>
      <w:r w:rsidRPr="006872A5">
        <w:rPr>
          <w:rStyle w:val="Hyperlink"/>
          <w:i/>
          <w:iCs/>
          <w:color w:val="auto"/>
          <w:u w:val="none"/>
        </w:rPr>
        <w:t xml:space="preserve"> </w:t>
      </w:r>
      <w:r w:rsidRPr="006872A5">
        <w:rPr>
          <w:rStyle w:val="Hyperlink"/>
          <w:bCs/>
          <w:i/>
          <w:iCs/>
          <w:color w:val="auto"/>
          <w:u w:val="none"/>
        </w:rPr>
        <w:t>Translator</w:t>
      </w:r>
      <w:r w:rsidRPr="006872A5">
        <w:rPr>
          <w:rStyle w:val="Hyperlink"/>
          <w:i/>
          <w:iCs/>
          <w:color w:val="auto"/>
          <w:u w:val="none"/>
        </w:rPr>
        <w:t xml:space="preserve"> Auction </w:t>
      </w:r>
      <w:r w:rsidRPr="006872A5">
        <w:rPr>
          <w:rStyle w:val="Hyperlink"/>
          <w:bCs/>
          <w:i/>
          <w:iCs/>
          <w:color w:val="auto"/>
          <w:u w:val="none"/>
        </w:rPr>
        <w:t>Filing</w:t>
      </w:r>
      <w:r w:rsidRPr="006872A5">
        <w:rPr>
          <w:rStyle w:val="Hyperlink"/>
          <w:i/>
          <w:iCs/>
          <w:color w:val="auto"/>
          <w:u w:val="none"/>
        </w:rPr>
        <w:t xml:space="preserve"> Window and Application Freeze Extended to March 17, </w:t>
      </w:r>
      <w:r w:rsidRPr="006872A5">
        <w:rPr>
          <w:rStyle w:val="Hyperlink"/>
          <w:bCs/>
          <w:i/>
          <w:iCs/>
          <w:color w:val="auto"/>
          <w:u w:val="none"/>
        </w:rPr>
        <w:t>2003</w:t>
      </w:r>
      <w:r w:rsidRPr="006872A5">
        <w:rPr>
          <w:rStyle w:val="Hyperlink"/>
          <w:color w:val="auto"/>
          <w:u w:val="none"/>
        </w:rPr>
        <w:t xml:space="preserve">, </w:t>
      </w:r>
      <w:r w:rsidRPr="006872A5">
        <w:rPr>
          <w:rStyle w:val="Hyperlink"/>
          <w:bCs/>
          <w:color w:val="auto"/>
          <w:u w:val="none"/>
        </w:rPr>
        <w:t>Public</w:t>
      </w:r>
      <w:r w:rsidRPr="006872A5">
        <w:rPr>
          <w:rStyle w:val="Hyperlink"/>
          <w:color w:val="auto"/>
          <w:u w:val="none"/>
        </w:rPr>
        <w:t xml:space="preserve"> </w:t>
      </w:r>
      <w:r w:rsidRPr="006872A5">
        <w:rPr>
          <w:rStyle w:val="Hyperlink"/>
          <w:bCs/>
          <w:color w:val="auto"/>
          <w:u w:val="none"/>
        </w:rPr>
        <w:t>Notice</w:t>
      </w:r>
      <w:r w:rsidRPr="006872A5">
        <w:rPr>
          <w:rStyle w:val="Hyperlink"/>
          <w:color w:val="auto"/>
          <w:u w:val="none"/>
        </w:rPr>
        <w:t xml:space="preserve">, 18 FCC Rcd 3275 (MB/WTB </w:t>
      </w:r>
      <w:r w:rsidRPr="006872A5">
        <w:rPr>
          <w:rStyle w:val="Hyperlink"/>
          <w:bCs/>
          <w:color w:val="auto"/>
          <w:u w:val="none"/>
        </w:rPr>
        <w:t>2003</w:t>
      </w:r>
      <w:r w:rsidRPr="006872A5">
        <w:rPr>
          <w:rStyle w:val="Hyperlink"/>
          <w:color w:val="auto"/>
          <w:u w:val="none"/>
        </w:rPr>
        <w:t>)</w:t>
      </w:r>
      <w:r w:rsidRPr="006872A5">
        <w:fldChar w:fldCharType="end"/>
      </w:r>
      <w:r w:rsidRPr="006872A5">
        <w:t>.</w:t>
      </w:r>
      <w:bookmarkStart w:id="3" w:name="SR;1167"/>
      <w:bookmarkEnd w:id="3"/>
    </w:p>
  </w:footnote>
  <w:footnote w:id="4">
    <w:p w:rsidR="00F812FD" w:rsidRPr="006872A5" w:rsidRDefault="00F812FD" w:rsidP="00513353">
      <w:pPr>
        <w:pStyle w:val="FootnoteText"/>
        <w:spacing w:after="120"/>
      </w:pPr>
      <w:r w:rsidRPr="006872A5">
        <w:rPr>
          <w:rStyle w:val="FootnoteReference"/>
        </w:rPr>
        <w:footnoteRef/>
      </w:r>
      <w:r w:rsidR="00513353" w:rsidRPr="006872A5">
        <w:t xml:space="preserve"> </w:t>
      </w:r>
      <w:hyperlink r:id="rId2" w:tgtFrame="_top" w:history="1">
        <w:r w:rsidRPr="006872A5">
          <w:rPr>
            <w:rStyle w:val="Hyperlink"/>
            <w:i/>
            <w:iCs/>
            <w:color w:val="auto"/>
            <w:u w:val="none"/>
          </w:rPr>
          <w:t>Creation of a Low Power Radio Service and Amendment of Service and Eligibility Rules for FM Broadcast Translator Stations</w:t>
        </w:r>
        <w:r w:rsidRPr="006872A5">
          <w:rPr>
            <w:rStyle w:val="Hyperlink"/>
            <w:color w:val="auto"/>
            <w:u w:val="none"/>
          </w:rPr>
          <w:t>, Fourth Report and Order and Third Order on Reconsideration, 27 FCC Rcd 3364 (2012)</w:t>
        </w:r>
      </w:hyperlink>
      <w:r w:rsidRPr="006872A5">
        <w:t xml:space="preserve"> (“</w:t>
      </w:r>
      <w:r w:rsidRPr="006872A5">
        <w:rPr>
          <w:i/>
          <w:iCs/>
        </w:rPr>
        <w:t>Fourth Report and Order</w:t>
      </w:r>
      <w:r w:rsidRPr="006872A5">
        <w:t>”).</w:t>
      </w:r>
    </w:p>
  </w:footnote>
  <w:footnote w:id="5">
    <w:p w:rsidR="00F812FD" w:rsidRPr="006872A5" w:rsidRDefault="00F812FD" w:rsidP="00513353">
      <w:pPr>
        <w:pStyle w:val="FootnoteText"/>
        <w:spacing w:after="120"/>
      </w:pPr>
      <w:r w:rsidRPr="006872A5">
        <w:rPr>
          <w:rStyle w:val="FootnoteReference"/>
        </w:rPr>
        <w:footnoteRef/>
      </w:r>
      <w:r w:rsidRPr="006872A5">
        <w:t xml:space="preserve"> </w:t>
      </w:r>
      <w:hyperlink r:id="rId3" w:tgtFrame="_top" w:history="1">
        <w:r w:rsidRPr="006872A5">
          <w:rPr>
            <w:rStyle w:val="Hyperlink"/>
            <w:color w:val="auto"/>
            <w:u w:val="none"/>
          </w:rPr>
          <w:t>Pub. L. No. 111-371,</w:t>
        </w:r>
        <w:r w:rsidR="0070370E" w:rsidRPr="006872A5">
          <w:rPr>
            <w:rStyle w:val="Hyperlink"/>
            <w:color w:val="auto"/>
            <w:u w:val="none"/>
          </w:rPr>
          <w:t xml:space="preserve"> </w:t>
        </w:r>
        <w:r w:rsidRPr="006872A5">
          <w:rPr>
            <w:rStyle w:val="Hyperlink"/>
            <w:color w:val="auto"/>
            <w:u w:val="none"/>
          </w:rPr>
          <w:t>124 Stat. 4072 (2011).</w:t>
        </w:r>
      </w:hyperlink>
    </w:p>
  </w:footnote>
  <w:footnote w:id="6">
    <w:p w:rsidR="0049270C" w:rsidRPr="006872A5" w:rsidRDefault="0049270C" w:rsidP="000A2601">
      <w:pPr>
        <w:pStyle w:val="FootnoteText"/>
        <w:spacing w:after="120"/>
      </w:pPr>
      <w:r w:rsidRPr="006872A5">
        <w:rPr>
          <w:rStyle w:val="FootnoteReference"/>
        </w:rPr>
        <w:footnoteRef/>
      </w:r>
      <w:r w:rsidRPr="006872A5">
        <w:t xml:space="preserve"> </w:t>
      </w:r>
      <w:r w:rsidR="008F4B3D" w:rsidRPr="008F4B3D">
        <w:rPr>
          <w:i/>
        </w:rPr>
        <w:t xml:space="preserve">See Fifth Order on Reconsideration, </w:t>
      </w:r>
      <w:r w:rsidR="008F4B3D" w:rsidRPr="008F4B3D">
        <w:t>27 FCC Rcd at 15410 and at 15421</w:t>
      </w:r>
      <w:r w:rsidR="008F4B3D">
        <w:t xml:space="preserve">; </w:t>
      </w:r>
      <w:r w:rsidR="008F4B3D">
        <w:rPr>
          <w:i/>
        </w:rPr>
        <w:t xml:space="preserve">see also </w:t>
      </w:r>
      <w:r w:rsidR="008F4B3D">
        <w:t>4</w:t>
      </w:r>
      <w:r w:rsidRPr="006872A5">
        <w:t>7 C.F.R. § 74.1204(b).</w:t>
      </w:r>
    </w:p>
  </w:footnote>
  <w:footnote w:id="7">
    <w:p w:rsidR="002F42FE" w:rsidRPr="006872A5" w:rsidRDefault="002F42FE" w:rsidP="002F42FE">
      <w:pPr>
        <w:pStyle w:val="FootnoteText"/>
        <w:spacing w:after="120"/>
      </w:pPr>
      <w:r w:rsidRPr="006872A5">
        <w:rPr>
          <w:rStyle w:val="FootnoteReference"/>
        </w:rPr>
        <w:footnoteRef/>
      </w:r>
      <w:r w:rsidRPr="006872A5">
        <w:t xml:space="preserve"> </w:t>
      </w:r>
      <w:r w:rsidRPr="006872A5">
        <w:rPr>
          <w:i/>
        </w:rPr>
        <w:t xml:space="preserve">See Fifth Order on Reconsideration, </w:t>
      </w:r>
      <w:r w:rsidRPr="006872A5">
        <w:t xml:space="preserve">27 FCC Rcd </w:t>
      </w:r>
      <w:r w:rsidR="006E493A" w:rsidRPr="006872A5">
        <w:t xml:space="preserve">at </w:t>
      </w:r>
      <w:r w:rsidRPr="006872A5">
        <w:t>154</w:t>
      </w:r>
      <w:r w:rsidR="006E493A" w:rsidRPr="006872A5">
        <w:t>10 and at 15421</w:t>
      </w:r>
      <w:r w:rsidRPr="006872A5">
        <w:t xml:space="preserve">.  </w:t>
      </w:r>
    </w:p>
  </w:footnote>
  <w:footnote w:id="8">
    <w:p w:rsidR="00E55863" w:rsidRPr="006872A5" w:rsidRDefault="00E55863" w:rsidP="00F57012">
      <w:pPr>
        <w:pStyle w:val="FootnoteText"/>
        <w:spacing w:after="120"/>
      </w:pPr>
      <w:r w:rsidRPr="006872A5">
        <w:rPr>
          <w:rStyle w:val="FootnoteReference"/>
        </w:rPr>
        <w:footnoteRef/>
      </w:r>
      <w:r w:rsidRPr="006872A5">
        <w:t xml:space="preserve"> </w:t>
      </w:r>
      <w:r w:rsidRPr="006872A5">
        <w:rPr>
          <w:i/>
          <w:iCs/>
        </w:rPr>
        <w:t xml:space="preserve">See </w:t>
      </w:r>
      <w:bookmarkStart w:id="4" w:name="SR;414"/>
      <w:bookmarkEnd w:id="4"/>
      <w:r w:rsidRPr="006872A5">
        <w:rPr>
          <w:i/>
          <w:iCs/>
        </w:rPr>
        <w:t>Media Bureau Announces January 10</w:t>
      </w:r>
      <w:r w:rsidR="00C83AF5" w:rsidRPr="006872A5">
        <w:rPr>
          <w:i/>
          <w:iCs/>
        </w:rPr>
        <w:t xml:space="preserve"> -</w:t>
      </w:r>
      <w:r w:rsidRPr="006872A5">
        <w:rPr>
          <w:i/>
          <w:iCs/>
        </w:rPr>
        <w:t xml:space="preserve"> January 25, 2013 Filing Window for Auction 83 FM Translator Application Selections and Caps Showings</w:t>
      </w:r>
      <w:r w:rsidRPr="006872A5">
        <w:t xml:space="preserve">, </w:t>
      </w:r>
      <w:r w:rsidR="00C83AF5" w:rsidRPr="006872A5">
        <w:t xml:space="preserve">Public Notice, 27 FCC Rcd 15961 </w:t>
      </w:r>
      <w:r w:rsidRPr="006872A5">
        <w:t>(</w:t>
      </w:r>
      <w:r w:rsidR="00C83AF5" w:rsidRPr="006872A5">
        <w:t xml:space="preserve">MB </w:t>
      </w:r>
      <w:r w:rsidRPr="006872A5">
        <w:t>2012).</w:t>
      </w:r>
    </w:p>
  </w:footnote>
  <w:footnote w:id="9">
    <w:p w:rsidR="00F521C8" w:rsidRPr="006872A5" w:rsidRDefault="00F521C8" w:rsidP="00F57012">
      <w:pPr>
        <w:pStyle w:val="FootnoteText"/>
        <w:spacing w:after="120"/>
      </w:pPr>
      <w:r w:rsidRPr="006872A5">
        <w:rPr>
          <w:rStyle w:val="FootnoteReference"/>
        </w:rPr>
        <w:footnoteRef/>
      </w:r>
      <w:r w:rsidRPr="006872A5">
        <w:t xml:space="preserve"> Sam-Sno requested the dismissal of the following</w:t>
      </w:r>
      <w:r w:rsidR="00C64403" w:rsidRPr="006872A5">
        <w:t xml:space="preserve"> applications</w:t>
      </w:r>
      <w:r w:rsidRPr="006872A5">
        <w:t>:  File Nos. BNPFT-20030317ACC, Newcastle; BNPFT-20030317ABW,</w:t>
      </w:r>
      <w:r w:rsidR="006805EE">
        <w:t xml:space="preserve"> </w:t>
      </w:r>
      <w:r w:rsidRPr="006872A5">
        <w:t>Vashon; BNPFT-20030317AAS, Manzanita; BNPFT-20030317ACA, Hunt’s Point; and BNPFT-20030312BFM, Bordeaux, all in Washington state.</w:t>
      </w:r>
      <w:r w:rsidR="00AF6C02" w:rsidRPr="006872A5">
        <w:t xml:space="preserve">  The staff dismissed these applications on February 5, 2013.  </w:t>
      </w:r>
      <w:r w:rsidR="00AF6C02" w:rsidRPr="006872A5">
        <w:rPr>
          <w:i/>
        </w:rPr>
        <w:t xml:space="preserve">See Media Bureau Dismisses FM Translator Form 349 “Tech Box” Proposals and Releases Applicant Selection Lists and Caps Showings Filings, </w:t>
      </w:r>
      <w:r w:rsidR="00AF6C02" w:rsidRPr="006872A5">
        <w:t xml:space="preserve">Public Notice, DA 13-152 (rel. Feb. 5, 2013). </w:t>
      </w:r>
      <w:r w:rsidR="00AF6C02" w:rsidRPr="006872A5">
        <w:rPr>
          <w:i/>
        </w:rPr>
        <w:t xml:space="preserve">  </w:t>
      </w:r>
      <w:r w:rsidR="007B081A" w:rsidRPr="006872A5">
        <w:t xml:space="preserve">  </w:t>
      </w:r>
      <w:r w:rsidRPr="006872A5">
        <w:t xml:space="preserve">  </w:t>
      </w:r>
    </w:p>
  </w:footnote>
  <w:footnote w:id="10">
    <w:p w:rsidR="00892100" w:rsidRPr="006872A5" w:rsidRDefault="00892100" w:rsidP="00001CFE">
      <w:pPr>
        <w:pStyle w:val="FootnoteText"/>
        <w:spacing w:after="120"/>
      </w:pPr>
      <w:r w:rsidRPr="006872A5">
        <w:rPr>
          <w:rStyle w:val="FootnoteReference"/>
        </w:rPr>
        <w:footnoteRef/>
      </w:r>
      <w:r w:rsidRPr="006872A5">
        <w:t xml:space="preserve"> Waiver Request at 1.</w:t>
      </w:r>
    </w:p>
  </w:footnote>
  <w:footnote w:id="11">
    <w:p w:rsidR="001A0358" w:rsidRPr="006872A5" w:rsidRDefault="000A2601" w:rsidP="00001CFE">
      <w:pPr>
        <w:pStyle w:val="FootnoteText"/>
        <w:spacing w:after="120"/>
      </w:pPr>
      <w:r w:rsidRPr="006872A5">
        <w:rPr>
          <w:rStyle w:val="FootnoteReference"/>
        </w:rPr>
        <w:footnoteRef/>
      </w:r>
      <w:r w:rsidRPr="006872A5">
        <w:t xml:space="preserve">  For </w:t>
      </w:r>
      <w:r w:rsidR="00F57012" w:rsidRPr="006872A5">
        <w:t xml:space="preserve">the </w:t>
      </w:r>
      <w:r w:rsidRPr="006872A5">
        <w:t>North Olympia</w:t>
      </w:r>
      <w:r w:rsidR="00F57012" w:rsidRPr="006872A5">
        <w:t xml:space="preserve"> Application</w:t>
      </w:r>
      <w:r w:rsidRPr="006872A5">
        <w:t xml:space="preserve">, </w:t>
      </w:r>
      <w:r w:rsidR="00D63089" w:rsidRPr="006872A5">
        <w:t>Sam-Sno</w:t>
      </w:r>
      <w:r w:rsidR="00112429" w:rsidRPr="006872A5">
        <w:t xml:space="preserve"> </w:t>
      </w:r>
      <w:r w:rsidR="00C951CE" w:rsidRPr="006872A5">
        <w:t>claims</w:t>
      </w:r>
      <w:r w:rsidR="001A0358" w:rsidRPr="006872A5">
        <w:t xml:space="preserve"> </w:t>
      </w:r>
      <w:r w:rsidR="00D63089" w:rsidRPr="006872A5">
        <w:t>that</w:t>
      </w:r>
      <w:r w:rsidR="00112429" w:rsidRPr="006872A5">
        <w:t xml:space="preserve"> </w:t>
      </w:r>
      <w:r w:rsidRPr="006872A5">
        <w:t>the 1.4 square k</w:t>
      </w:r>
      <w:r w:rsidR="002F42FE" w:rsidRPr="006872A5">
        <w:t>ilometers</w:t>
      </w:r>
      <w:r w:rsidRPr="006872A5">
        <w:t xml:space="preserve"> overlap is 0.2% of its 561.2 square k</w:t>
      </w:r>
      <w:r w:rsidR="002F42FE" w:rsidRPr="006872A5">
        <w:t>ilometers</w:t>
      </w:r>
      <w:r w:rsidRPr="006872A5">
        <w:t xml:space="preserve"> 60 dB</w:t>
      </w:r>
      <w:r w:rsidR="0082029C" w:rsidRPr="006872A5">
        <w:t>µ</w:t>
      </w:r>
      <w:r w:rsidR="00D63089" w:rsidRPr="006872A5">
        <w:t xml:space="preserve"> </w:t>
      </w:r>
      <w:r w:rsidRPr="006872A5">
        <w:t>contour</w:t>
      </w:r>
      <w:r w:rsidR="00D63089" w:rsidRPr="006872A5">
        <w:t>, and i</w:t>
      </w:r>
      <w:r w:rsidRPr="006872A5">
        <w:t>ts overlap population of 761</w:t>
      </w:r>
      <w:r w:rsidR="00D75010" w:rsidRPr="006872A5">
        <w:t xml:space="preserve"> i</w:t>
      </w:r>
      <w:r w:rsidRPr="006872A5">
        <w:t>s 0.5% of its full contour population of 156,684.</w:t>
      </w:r>
      <w:r w:rsidR="00D63089" w:rsidRPr="006872A5">
        <w:t xml:space="preserve">  </w:t>
      </w:r>
      <w:r w:rsidRPr="006872A5">
        <w:t xml:space="preserve">For </w:t>
      </w:r>
      <w:r w:rsidR="00F57012" w:rsidRPr="006872A5">
        <w:t xml:space="preserve">the </w:t>
      </w:r>
      <w:r w:rsidRPr="006872A5">
        <w:t>McCleary</w:t>
      </w:r>
      <w:r w:rsidR="00F57012" w:rsidRPr="006872A5">
        <w:t xml:space="preserve"> Application</w:t>
      </w:r>
      <w:r w:rsidRPr="006872A5">
        <w:t xml:space="preserve">, </w:t>
      </w:r>
      <w:r w:rsidR="00C951CE" w:rsidRPr="006872A5">
        <w:t xml:space="preserve">Sam-Sno claims that </w:t>
      </w:r>
      <w:r w:rsidR="00D63089" w:rsidRPr="006872A5">
        <w:t>t</w:t>
      </w:r>
      <w:r w:rsidRPr="006872A5">
        <w:t>he overlap</w:t>
      </w:r>
      <w:r w:rsidR="00445269" w:rsidRPr="006872A5">
        <w:t xml:space="preserve"> constitutes</w:t>
      </w:r>
      <w:r w:rsidR="00D75010" w:rsidRPr="006872A5">
        <w:t xml:space="preserve"> </w:t>
      </w:r>
      <w:r w:rsidRPr="006872A5">
        <w:t>0.3% of its 495.8 square k</w:t>
      </w:r>
      <w:r w:rsidR="002F42FE" w:rsidRPr="006872A5">
        <w:t>ilometers</w:t>
      </w:r>
      <w:r w:rsidRPr="006872A5">
        <w:t xml:space="preserve"> 60 dB</w:t>
      </w:r>
      <w:r w:rsidR="0082029C" w:rsidRPr="006872A5">
        <w:t>µ</w:t>
      </w:r>
      <w:r w:rsidRPr="006872A5">
        <w:t xml:space="preserve"> contour</w:t>
      </w:r>
      <w:r w:rsidR="00D63089" w:rsidRPr="006872A5">
        <w:t xml:space="preserve">, and </w:t>
      </w:r>
      <w:r w:rsidR="00445269" w:rsidRPr="006872A5">
        <w:t xml:space="preserve">the </w:t>
      </w:r>
      <w:r w:rsidRPr="006872A5">
        <w:t>overlap population</w:t>
      </w:r>
      <w:r w:rsidR="00D75010" w:rsidRPr="006872A5">
        <w:t xml:space="preserve"> </w:t>
      </w:r>
      <w:r w:rsidRPr="006872A5">
        <w:t>is 9% of its full contour population of 8,207.</w:t>
      </w:r>
      <w:r w:rsidR="00271558" w:rsidRPr="006872A5">
        <w:t xml:space="preserve">  </w:t>
      </w:r>
      <w:r w:rsidR="00271558" w:rsidRPr="006872A5">
        <w:rPr>
          <w:i/>
        </w:rPr>
        <w:t>Id.</w:t>
      </w:r>
      <w:r w:rsidR="00F57012" w:rsidRPr="006872A5">
        <w:t xml:space="preserve">  </w:t>
      </w:r>
    </w:p>
  </w:footnote>
  <w:footnote w:id="12">
    <w:p w:rsidR="00472E0E" w:rsidRPr="006872A5" w:rsidRDefault="00472E0E" w:rsidP="00001CFE">
      <w:pPr>
        <w:pStyle w:val="FootnoteText"/>
        <w:spacing w:after="120"/>
      </w:pPr>
      <w:r w:rsidRPr="006872A5">
        <w:rPr>
          <w:rStyle w:val="FootnoteReference"/>
        </w:rPr>
        <w:footnoteRef/>
      </w:r>
      <w:r w:rsidRPr="006872A5">
        <w:rPr>
          <w:i/>
        </w:rPr>
        <w:t xml:space="preserve"> Id.</w:t>
      </w:r>
      <w:r w:rsidR="00EF68A0" w:rsidRPr="006872A5">
        <w:t xml:space="preserve">  Sam-Sno </w:t>
      </w:r>
      <w:r w:rsidR="0079706E" w:rsidRPr="006872A5">
        <w:t xml:space="preserve">cites no </w:t>
      </w:r>
      <w:r w:rsidR="00EF68A0" w:rsidRPr="006872A5">
        <w:t xml:space="preserve">cases </w:t>
      </w:r>
      <w:r w:rsidR="0079706E" w:rsidRPr="006872A5">
        <w:t>supporting</w:t>
      </w:r>
      <w:r w:rsidR="00EF68A0" w:rsidRPr="006872A5">
        <w:t xml:space="preserve"> this assertion.</w:t>
      </w:r>
    </w:p>
  </w:footnote>
  <w:footnote w:id="13">
    <w:p w:rsidR="001A19CF" w:rsidRPr="006872A5" w:rsidRDefault="00472E0E" w:rsidP="00AC74E1">
      <w:pPr>
        <w:pStyle w:val="FootnoteText"/>
        <w:spacing w:after="120"/>
        <w:rPr>
          <w:b/>
        </w:rPr>
      </w:pPr>
      <w:r w:rsidRPr="006872A5">
        <w:rPr>
          <w:rStyle w:val="FootnoteReference"/>
        </w:rPr>
        <w:footnoteRef/>
      </w:r>
      <w:r w:rsidRPr="006872A5">
        <w:rPr>
          <w:i/>
        </w:rPr>
        <w:t xml:space="preserve"> Id.</w:t>
      </w:r>
      <w:r w:rsidR="001A19CF" w:rsidRPr="006872A5">
        <w:rPr>
          <w:i/>
        </w:rPr>
        <w:t xml:space="preserve"> </w:t>
      </w:r>
      <w:r w:rsidR="00F634A0" w:rsidRPr="006872A5">
        <w:t xml:space="preserve">Sam-Sno also asserts that no new LPFM stations would be precluded by the grant of either the McCleary or North Olympia Applications. </w:t>
      </w:r>
      <w:r w:rsidR="001A19CF" w:rsidRPr="006872A5">
        <w:rPr>
          <w:i/>
        </w:rPr>
        <w:t xml:space="preserve"> </w:t>
      </w:r>
      <w:r w:rsidR="00BB64A0" w:rsidRPr="006872A5">
        <w:t>In light of our action</w:t>
      </w:r>
      <w:r w:rsidR="00F119CE" w:rsidRPr="006872A5">
        <w:t>s</w:t>
      </w:r>
      <w:r w:rsidR="00BB64A0" w:rsidRPr="006872A5">
        <w:t xml:space="preserve"> here, we need not reach this argument.  </w:t>
      </w:r>
      <w:r w:rsidR="00DC15B2" w:rsidRPr="006872A5">
        <w:rPr>
          <w:i/>
        </w:rPr>
        <w:t xml:space="preserve">  </w:t>
      </w:r>
    </w:p>
  </w:footnote>
  <w:footnote w:id="14">
    <w:p w:rsidR="00BB204B" w:rsidRPr="006872A5" w:rsidRDefault="00BB204B" w:rsidP="00AC74E1">
      <w:pPr>
        <w:pStyle w:val="FootnoteText"/>
        <w:spacing w:after="120"/>
      </w:pPr>
      <w:r w:rsidRPr="006872A5">
        <w:rPr>
          <w:rStyle w:val="FootnoteReference"/>
        </w:rPr>
        <w:footnoteRef/>
      </w:r>
      <w:r w:rsidRPr="006872A5">
        <w:t xml:space="preserve"> 47 C.F.R. § 1.3.</w:t>
      </w:r>
    </w:p>
  </w:footnote>
  <w:footnote w:id="15">
    <w:p w:rsidR="00236EA3" w:rsidRPr="006872A5" w:rsidRDefault="00236EA3" w:rsidP="004430E4">
      <w:pPr>
        <w:pStyle w:val="FootnoteText"/>
        <w:spacing w:after="120"/>
      </w:pPr>
      <w:r w:rsidRPr="006872A5">
        <w:rPr>
          <w:rStyle w:val="FootnoteReference"/>
        </w:rPr>
        <w:footnoteRef/>
      </w:r>
      <w:r w:rsidRPr="006872A5">
        <w:t xml:space="preserve">  </w:t>
      </w:r>
      <w:r w:rsidRPr="006872A5">
        <w:rPr>
          <w:i/>
          <w:iCs/>
        </w:rPr>
        <w:t xml:space="preserve">See </w:t>
      </w:r>
      <w:hyperlink r:id="rId4" w:tgtFrame="_top" w:history="1">
        <w:r w:rsidRPr="006872A5">
          <w:rPr>
            <w:rStyle w:val="Hyperlink"/>
            <w:i/>
            <w:iCs/>
            <w:color w:val="auto"/>
            <w:u w:val="none"/>
          </w:rPr>
          <w:t>Columbia Communications Corp. v. FCC</w:t>
        </w:r>
        <w:r w:rsidRPr="006872A5">
          <w:rPr>
            <w:rStyle w:val="Hyperlink"/>
            <w:color w:val="auto"/>
            <w:u w:val="none"/>
          </w:rPr>
          <w:t>, 832 F.2d 189, 192 (D.C. Cir. 1987)</w:t>
        </w:r>
      </w:hyperlink>
      <w:r w:rsidRPr="006872A5">
        <w:t>.</w:t>
      </w:r>
    </w:p>
  </w:footnote>
  <w:footnote w:id="16">
    <w:p w:rsidR="00236EA3" w:rsidRPr="006872A5" w:rsidRDefault="00236EA3" w:rsidP="004430E4">
      <w:pPr>
        <w:pStyle w:val="FootnoteText"/>
        <w:spacing w:after="120"/>
      </w:pPr>
      <w:r w:rsidRPr="006872A5">
        <w:rPr>
          <w:rStyle w:val="FootnoteReference"/>
        </w:rPr>
        <w:footnoteRef/>
      </w:r>
      <w:r w:rsidRPr="006872A5">
        <w:t xml:space="preserve"> </w:t>
      </w:r>
      <w:r w:rsidRPr="006872A5">
        <w:rPr>
          <w:i/>
          <w:iCs/>
        </w:rPr>
        <w:t xml:space="preserve">See </w:t>
      </w:r>
      <w:hyperlink r:id="rId5" w:tgtFrame="_top" w:history="1">
        <w:r w:rsidRPr="006872A5">
          <w:rPr>
            <w:rStyle w:val="Hyperlink"/>
            <w:i/>
            <w:iCs/>
            <w:color w:val="auto"/>
            <w:u w:val="none"/>
          </w:rPr>
          <w:t>WAIT Radio v. FCC</w:t>
        </w:r>
        <w:r w:rsidRPr="006872A5">
          <w:rPr>
            <w:rStyle w:val="Hyperlink"/>
            <w:color w:val="auto"/>
            <w:u w:val="none"/>
          </w:rPr>
          <w:t>, 418 F.2d 1153, 1157 (D.C. Cir. 1969)</w:t>
        </w:r>
      </w:hyperlink>
      <w:r w:rsidRPr="006872A5">
        <w:t>,</w:t>
      </w:r>
      <w:r w:rsidRPr="006872A5">
        <w:rPr>
          <w:i/>
          <w:iCs/>
        </w:rPr>
        <w:t xml:space="preserve"> aff'd.</w:t>
      </w:r>
      <w:r w:rsidRPr="006872A5">
        <w:t xml:space="preserve">, </w:t>
      </w:r>
      <w:hyperlink r:id="rId6" w:tgtFrame="_top" w:history="1">
        <w:r w:rsidRPr="006872A5">
          <w:rPr>
            <w:rStyle w:val="Hyperlink"/>
            <w:color w:val="auto"/>
            <w:u w:val="none"/>
          </w:rPr>
          <w:t>459 F.2d 1203 (1972)</w:t>
        </w:r>
      </w:hyperlink>
      <w:r w:rsidRPr="006872A5">
        <w:t xml:space="preserve">, </w:t>
      </w:r>
      <w:r w:rsidRPr="006872A5">
        <w:rPr>
          <w:i/>
          <w:iCs/>
        </w:rPr>
        <w:t>cert. denied</w:t>
      </w:r>
      <w:r w:rsidRPr="006872A5">
        <w:t xml:space="preserve">, </w:t>
      </w:r>
      <w:hyperlink r:id="rId7" w:tgtFrame="_top" w:history="1">
        <w:r w:rsidRPr="006872A5">
          <w:rPr>
            <w:rStyle w:val="Hyperlink"/>
            <w:color w:val="auto"/>
            <w:u w:val="none"/>
          </w:rPr>
          <w:t>93 S.Ct. 461 (1972)</w:t>
        </w:r>
      </w:hyperlink>
      <w:r w:rsidRPr="006872A5">
        <w:t xml:space="preserve"> (“</w:t>
      </w:r>
      <w:r w:rsidRPr="006872A5">
        <w:rPr>
          <w:i/>
          <w:iCs/>
        </w:rPr>
        <w:t>WAIT Radio”</w:t>
      </w:r>
      <w:r w:rsidRPr="006872A5">
        <w:t xml:space="preserve">). </w:t>
      </w:r>
      <w:r w:rsidR="00330845">
        <w:t xml:space="preserve"> </w:t>
      </w:r>
      <w:r w:rsidRPr="006872A5">
        <w:rPr>
          <w:i/>
          <w:iCs/>
        </w:rPr>
        <w:t xml:space="preserve">See also </w:t>
      </w:r>
      <w:hyperlink r:id="rId8" w:tgtFrame="_top" w:history="1">
        <w:r w:rsidRPr="006872A5">
          <w:rPr>
            <w:rStyle w:val="Hyperlink"/>
            <w:i/>
            <w:iCs/>
            <w:color w:val="auto"/>
            <w:u w:val="none"/>
          </w:rPr>
          <w:t>Thomas Radio v. FCC</w:t>
        </w:r>
        <w:r w:rsidRPr="006872A5">
          <w:rPr>
            <w:rStyle w:val="Hyperlink"/>
            <w:color w:val="auto"/>
            <w:u w:val="none"/>
          </w:rPr>
          <w:t>, 716 F.2d 921, 924 (D.C. Cir. 1983)</w:t>
        </w:r>
      </w:hyperlink>
      <w:r w:rsidRPr="006872A5">
        <w:t>.</w:t>
      </w:r>
    </w:p>
  </w:footnote>
  <w:footnote w:id="17">
    <w:p w:rsidR="00236EA3" w:rsidRPr="006872A5" w:rsidRDefault="00236EA3" w:rsidP="004430E4">
      <w:pPr>
        <w:pStyle w:val="FootnoteText"/>
        <w:spacing w:after="120"/>
      </w:pPr>
      <w:r w:rsidRPr="006872A5">
        <w:rPr>
          <w:rStyle w:val="FootnoteReference"/>
        </w:rPr>
        <w:footnoteRef/>
      </w:r>
      <w:r w:rsidRPr="006872A5">
        <w:t xml:space="preserve"> </w:t>
      </w:r>
      <w:hyperlink r:id="rId9" w:tgtFrame="_top" w:history="1">
        <w:r w:rsidRPr="006872A5">
          <w:rPr>
            <w:rStyle w:val="Hyperlink"/>
            <w:i/>
            <w:iCs/>
            <w:color w:val="auto"/>
            <w:u w:val="none"/>
          </w:rPr>
          <w:t>Greater Media Radio Co., Inc.</w:t>
        </w:r>
        <w:r w:rsidRPr="006872A5">
          <w:rPr>
            <w:rStyle w:val="Hyperlink"/>
            <w:color w:val="auto"/>
            <w:u w:val="none"/>
          </w:rPr>
          <w:t>, Memorandum Opinion and Order, 15 FCC Rcd 7090 (1999)</w:t>
        </w:r>
      </w:hyperlink>
      <w:r w:rsidRPr="006872A5">
        <w:t xml:space="preserve"> (citing </w:t>
      </w:r>
      <w:hyperlink r:id="rId10" w:tgtFrame="_top" w:history="1">
        <w:r w:rsidRPr="006872A5">
          <w:rPr>
            <w:rStyle w:val="Hyperlink"/>
            <w:i/>
            <w:iCs/>
            <w:color w:val="auto"/>
            <w:u w:val="none"/>
          </w:rPr>
          <w:t>Stoner Broadcasting System, Inc.</w:t>
        </w:r>
        <w:r w:rsidRPr="006872A5">
          <w:rPr>
            <w:rStyle w:val="Hyperlink"/>
            <w:color w:val="auto"/>
            <w:u w:val="none"/>
          </w:rPr>
          <w:t>, Memorandum Opinion and Order, 49 FCC 2d 1011, 1012 (1974)</w:t>
        </w:r>
      </w:hyperlink>
      <w:r w:rsidRPr="006872A5">
        <w:t>).</w:t>
      </w:r>
    </w:p>
  </w:footnote>
  <w:footnote w:id="18">
    <w:p w:rsidR="00236EA3" w:rsidRPr="006872A5" w:rsidRDefault="00236EA3" w:rsidP="004430E4">
      <w:pPr>
        <w:pStyle w:val="FootnoteText"/>
        <w:spacing w:after="120"/>
      </w:pPr>
      <w:r w:rsidRPr="006872A5">
        <w:rPr>
          <w:rStyle w:val="FootnoteReference"/>
        </w:rPr>
        <w:footnoteRef/>
      </w:r>
      <w:hyperlink r:id="rId11" w:tgtFrame="_top" w:history="1">
        <w:r w:rsidRPr="006872A5">
          <w:rPr>
            <w:rStyle w:val="Hyperlink"/>
            <w:i/>
            <w:iCs/>
            <w:color w:val="auto"/>
            <w:u w:val="none"/>
          </w:rPr>
          <w:t>Northeast Cellular Telephone Co. v. FCC</w:t>
        </w:r>
        <w:r w:rsidRPr="006872A5">
          <w:rPr>
            <w:rStyle w:val="Hyperlink"/>
            <w:color w:val="auto"/>
            <w:u w:val="none"/>
          </w:rPr>
          <w:t>, 897 F.2d 1164, 1166 (D.C. Cir. 1990)</w:t>
        </w:r>
      </w:hyperlink>
      <w:r w:rsidRPr="006872A5">
        <w:t xml:space="preserve"> (“</w:t>
      </w:r>
      <w:r w:rsidRPr="006872A5">
        <w:rPr>
          <w:i/>
          <w:iCs/>
        </w:rPr>
        <w:t>Northeast Cellular</w:t>
      </w:r>
      <w:r w:rsidRPr="006872A5">
        <w:t xml:space="preserve">”). </w:t>
      </w:r>
    </w:p>
  </w:footnote>
  <w:footnote w:id="19">
    <w:p w:rsidR="00236EA3" w:rsidRPr="006872A5" w:rsidRDefault="00236EA3" w:rsidP="004430E4">
      <w:pPr>
        <w:pStyle w:val="FootnoteText"/>
        <w:spacing w:after="120"/>
      </w:pPr>
      <w:r w:rsidRPr="006872A5">
        <w:rPr>
          <w:rStyle w:val="FootnoteReference"/>
        </w:rPr>
        <w:footnoteRef/>
      </w:r>
      <w:r w:rsidRPr="006872A5">
        <w:t xml:space="preserve"> </w:t>
      </w:r>
      <w:hyperlink r:id="rId12" w:tgtFrame="_top" w:history="1">
        <w:r w:rsidRPr="006872A5">
          <w:rPr>
            <w:rStyle w:val="Hyperlink"/>
            <w:i/>
            <w:iCs/>
            <w:color w:val="auto"/>
            <w:u w:val="none"/>
          </w:rPr>
          <w:t>WAIT Radio</w:t>
        </w:r>
        <w:r w:rsidRPr="006872A5">
          <w:rPr>
            <w:rStyle w:val="Hyperlink"/>
            <w:color w:val="auto"/>
            <w:u w:val="none"/>
          </w:rPr>
          <w:t>, 418 F.2d at 1159;</w:t>
        </w:r>
      </w:hyperlink>
      <w:r w:rsidRPr="006872A5">
        <w:t xml:space="preserve"> </w:t>
      </w:r>
      <w:hyperlink r:id="rId13" w:tgtFrame="_top" w:history="1">
        <w:r w:rsidRPr="006872A5">
          <w:rPr>
            <w:rStyle w:val="Hyperlink"/>
            <w:i/>
            <w:iCs/>
            <w:color w:val="auto"/>
            <w:u w:val="none"/>
          </w:rPr>
          <w:t>Northeast Cellular</w:t>
        </w:r>
        <w:r w:rsidRPr="006872A5">
          <w:rPr>
            <w:rStyle w:val="Hyperlink"/>
            <w:color w:val="auto"/>
            <w:u w:val="none"/>
          </w:rPr>
          <w:t>, 897 F.2d at 1166</w:t>
        </w:r>
      </w:hyperlink>
      <w:r w:rsidRPr="006872A5">
        <w:t>.</w:t>
      </w:r>
    </w:p>
  </w:footnote>
  <w:footnote w:id="20">
    <w:p w:rsidR="00236EA3" w:rsidRPr="006872A5" w:rsidRDefault="00236EA3" w:rsidP="004430E4">
      <w:pPr>
        <w:pStyle w:val="FootnoteText"/>
        <w:spacing w:after="120"/>
      </w:pPr>
      <w:r w:rsidRPr="006872A5">
        <w:rPr>
          <w:rStyle w:val="FootnoteReference"/>
        </w:rPr>
        <w:footnoteRef/>
      </w:r>
      <w:r w:rsidRPr="006872A5">
        <w:t xml:space="preserve"> </w:t>
      </w:r>
      <w:hyperlink r:id="rId14" w:tgtFrame="_top" w:history="1">
        <w:r w:rsidRPr="006872A5">
          <w:rPr>
            <w:rStyle w:val="Hyperlink"/>
            <w:bCs/>
            <w:i/>
            <w:iCs/>
            <w:color w:val="auto"/>
            <w:u w:val="none"/>
          </w:rPr>
          <w:t>NetworkIP</w:t>
        </w:r>
        <w:r w:rsidRPr="006872A5">
          <w:rPr>
            <w:rStyle w:val="Hyperlink"/>
            <w:i/>
            <w:iCs/>
            <w:color w:val="auto"/>
            <w:u w:val="none"/>
          </w:rPr>
          <w:t>, LLC v. FCC</w:t>
        </w:r>
        <w:r w:rsidRPr="006872A5">
          <w:rPr>
            <w:rStyle w:val="Hyperlink"/>
            <w:color w:val="auto"/>
            <w:u w:val="none"/>
          </w:rPr>
          <w:t>, 548 F.3d 116, 125-128 (D.C. Cir. 2008)</w:t>
        </w:r>
      </w:hyperlink>
      <w:r w:rsidRPr="006872A5">
        <w:t xml:space="preserve"> (“</w:t>
      </w:r>
      <w:bookmarkStart w:id="17" w:name="SR;2751"/>
      <w:bookmarkEnd w:id="17"/>
      <w:r w:rsidRPr="006872A5">
        <w:rPr>
          <w:bCs/>
          <w:i/>
          <w:iCs/>
        </w:rPr>
        <w:t>NetworkIP</w:t>
      </w:r>
      <w:r w:rsidRPr="006872A5">
        <w:t xml:space="preserve">”); </w:t>
      </w:r>
      <w:hyperlink r:id="rId15" w:tgtFrame="_top" w:history="1">
        <w:r w:rsidRPr="006872A5">
          <w:rPr>
            <w:rStyle w:val="Hyperlink"/>
            <w:i/>
            <w:iCs/>
            <w:color w:val="auto"/>
            <w:u w:val="none"/>
          </w:rPr>
          <w:t>Northeast Cellular</w:t>
        </w:r>
        <w:r w:rsidRPr="006872A5">
          <w:rPr>
            <w:rStyle w:val="Hyperlink"/>
            <w:color w:val="auto"/>
            <w:u w:val="none"/>
          </w:rPr>
          <w:t>, 897 F.2d at 1166</w:t>
        </w:r>
      </w:hyperlink>
      <w:r w:rsidRPr="006872A5">
        <w:t xml:space="preserve">. </w:t>
      </w:r>
    </w:p>
  </w:footnote>
  <w:footnote w:id="21">
    <w:p w:rsidR="009D1C29" w:rsidRPr="006872A5" w:rsidRDefault="009D1C29" w:rsidP="004430E4">
      <w:pPr>
        <w:pStyle w:val="FootnoteText"/>
        <w:spacing w:after="120"/>
      </w:pPr>
      <w:r w:rsidRPr="006872A5">
        <w:rPr>
          <w:rStyle w:val="FootnoteReference"/>
        </w:rPr>
        <w:footnoteRef/>
      </w:r>
      <w:r w:rsidRPr="006872A5">
        <w:t xml:space="preserve"> </w:t>
      </w:r>
      <w:r w:rsidR="004430E4">
        <w:rPr>
          <w:i/>
        </w:rPr>
        <w:t xml:space="preserve">See </w:t>
      </w:r>
      <w:r w:rsidRPr="006872A5">
        <w:rPr>
          <w:i/>
        </w:rPr>
        <w:t xml:space="preserve">Fifth Order on Reconsideration, </w:t>
      </w:r>
      <w:r w:rsidRPr="006872A5">
        <w:t>27 FCC Rcd at 15421.</w:t>
      </w:r>
      <w:r w:rsidR="000401DE" w:rsidRPr="006872A5">
        <w:t xml:space="preserve">  </w:t>
      </w:r>
      <w:r w:rsidRPr="006872A5">
        <w:t>The Commission specifically</w:t>
      </w:r>
      <w:r w:rsidR="00C21985">
        <w:t xml:space="preserve"> n</w:t>
      </w:r>
      <w:r w:rsidRPr="006872A5">
        <w:t xml:space="preserve">oted that certain factors, particularly the limited service area of a translator compared to the size of the “Appendix A” market, weighed in favor of allowing more than one translator application in an “Appendix A” market, provided that each translator would serve a different part of the market than any of an applicant’s existing translators or other pending translator applications.  </w:t>
      </w:r>
      <w:r w:rsidRPr="006872A5">
        <w:rPr>
          <w:i/>
        </w:rPr>
        <w:t xml:space="preserve">Id. </w:t>
      </w:r>
      <w:r w:rsidRPr="006872A5">
        <w:t xml:space="preserve">at 15420.  </w:t>
      </w:r>
    </w:p>
  </w:footnote>
  <w:footnote w:id="22">
    <w:p w:rsidR="00330845" w:rsidRPr="006872A5" w:rsidRDefault="00330845" w:rsidP="00330845">
      <w:pPr>
        <w:pStyle w:val="FootnoteText"/>
        <w:spacing w:after="120"/>
      </w:pPr>
      <w:r w:rsidRPr="006872A5">
        <w:rPr>
          <w:rStyle w:val="FootnoteReference"/>
        </w:rPr>
        <w:footnoteRef/>
      </w:r>
      <w:r w:rsidRPr="006872A5">
        <w:t xml:space="preserve"> </w:t>
      </w:r>
      <w:r w:rsidRPr="00C21985">
        <w:rPr>
          <w:i/>
        </w:rPr>
        <w:t>Id.</w:t>
      </w:r>
      <w:r>
        <w:t xml:space="preserve"> at </w:t>
      </w:r>
      <w:r w:rsidRPr="006872A5">
        <w:t xml:space="preserve">15421.  </w:t>
      </w:r>
    </w:p>
  </w:footnote>
  <w:footnote w:id="23">
    <w:p w:rsidR="001E5794" w:rsidRPr="00330845" w:rsidRDefault="001E5794" w:rsidP="001E5794">
      <w:pPr>
        <w:pStyle w:val="FootnoteText"/>
        <w:spacing w:after="120"/>
      </w:pPr>
      <w:r>
        <w:rPr>
          <w:rStyle w:val="FootnoteReference"/>
        </w:rPr>
        <w:footnoteRef/>
      </w:r>
      <w:r>
        <w:t xml:space="preserve"> </w:t>
      </w:r>
      <w:r w:rsidRPr="00E52B78">
        <w:rPr>
          <w:i/>
        </w:rPr>
        <w:t>Id.</w:t>
      </w:r>
      <w:r w:rsidR="00330845">
        <w:rPr>
          <w:i/>
        </w:rPr>
        <w:t xml:space="preserve"> </w:t>
      </w:r>
      <w:r w:rsidR="00330845">
        <w:t>at 15420</w:t>
      </w:r>
    </w:p>
  </w:footnote>
  <w:footnote w:id="24">
    <w:p w:rsidR="001E5794" w:rsidRPr="005F08D5" w:rsidRDefault="001E5794" w:rsidP="001E5794">
      <w:pPr>
        <w:pStyle w:val="FootnoteText"/>
        <w:spacing w:after="120"/>
      </w:pPr>
      <w:r w:rsidRPr="006872A5">
        <w:rPr>
          <w:rStyle w:val="FootnoteReference"/>
        </w:rPr>
        <w:footnoteRef/>
      </w:r>
      <w:r w:rsidRPr="006872A5">
        <w:t xml:space="preserve"> </w:t>
      </w:r>
      <w:r w:rsidR="00330845">
        <w:rPr>
          <w:i/>
        </w:rPr>
        <w:t>Id.</w:t>
      </w:r>
      <w:r w:rsidR="00330845">
        <w:t xml:space="preserve"> </w:t>
      </w:r>
      <w:r w:rsidR="00330845" w:rsidRPr="009C10B9">
        <w:t xml:space="preserve">at </w:t>
      </w:r>
      <w:r w:rsidR="008D1CD2">
        <w:t>15406</w:t>
      </w:r>
      <w:r w:rsidR="002C0747">
        <w:t>, citing</w:t>
      </w:r>
      <w:r w:rsidRPr="006872A5">
        <w:rPr>
          <w:i/>
        </w:rPr>
        <w:t xml:space="preserve"> </w:t>
      </w:r>
      <w:hyperlink r:id="rId16" w:tgtFrame="_top" w:history="1">
        <w:r w:rsidRPr="006872A5">
          <w:rPr>
            <w:rStyle w:val="Hyperlink"/>
            <w:i/>
            <w:iCs/>
            <w:color w:val="auto"/>
            <w:u w:val="none"/>
          </w:rPr>
          <w:t>Creation of a Low Power Radio Service and Amendment of Service and Eligibility Rules for FM Broadcast Translator Stations</w:t>
        </w:r>
        <w:r w:rsidRPr="006872A5">
          <w:rPr>
            <w:rStyle w:val="Hyperlink"/>
            <w:i/>
            <w:color w:val="auto"/>
            <w:u w:val="none"/>
          </w:rPr>
          <w:t xml:space="preserve">, </w:t>
        </w:r>
        <w:r w:rsidRPr="006872A5">
          <w:rPr>
            <w:rStyle w:val="Hyperlink"/>
            <w:color w:val="auto"/>
            <w:u w:val="none"/>
          </w:rPr>
          <w:t xml:space="preserve">Third Further Notice of Proposed Rulemaking, 26 FCC Rcd 9986, 9999 ¶ </w:t>
        </w:r>
        <w:r w:rsidR="002C0747">
          <w:rPr>
            <w:rStyle w:val="Hyperlink"/>
            <w:color w:val="auto"/>
            <w:u w:val="none"/>
          </w:rPr>
          <w:t>34</w:t>
        </w:r>
        <w:r w:rsidRPr="006872A5">
          <w:rPr>
            <w:rStyle w:val="Hyperlink"/>
            <w:color w:val="auto"/>
            <w:u w:val="none"/>
          </w:rPr>
          <w:t xml:space="preserve"> (2011).</w:t>
        </w:r>
      </w:hyperlink>
      <w:r w:rsidR="00C21985">
        <w:t xml:space="preserve">  </w:t>
      </w:r>
    </w:p>
  </w:footnote>
  <w:footnote w:id="25">
    <w:p w:rsidR="0020381C" w:rsidRPr="0020381C" w:rsidRDefault="0020381C">
      <w:pPr>
        <w:pStyle w:val="FootnoteText"/>
      </w:pPr>
      <w:r>
        <w:rPr>
          <w:rStyle w:val="FootnoteReference"/>
        </w:rPr>
        <w:footnoteRef/>
      </w:r>
      <w:r>
        <w:t xml:space="preserve"> </w:t>
      </w:r>
      <w:r>
        <w:rPr>
          <w:i/>
        </w:rPr>
        <w:t>Fifth Order on Reconsideration</w:t>
      </w:r>
      <w:r>
        <w:t>, 27 FCC Rcd at 15420.</w:t>
      </w:r>
    </w:p>
  </w:footnote>
  <w:footnote w:id="26">
    <w:p w:rsidR="004E3984" w:rsidRDefault="004E3984">
      <w:pPr>
        <w:pStyle w:val="FootnoteText"/>
      </w:pPr>
      <w:r>
        <w:rPr>
          <w:rStyle w:val="FootnoteReference"/>
        </w:rPr>
        <w:footnoteRef/>
      </w:r>
      <w:r>
        <w:t xml:space="preserve"> </w:t>
      </w:r>
      <w:r w:rsidRPr="008B4026">
        <w:rPr>
          <w:i/>
        </w:rPr>
        <w:t xml:space="preserve">See Fifth Order on Reconsideration, </w:t>
      </w:r>
      <w:r w:rsidRPr="008B4026">
        <w:t xml:space="preserve">27 FCC Rcd at 15421.  As the Commission has explained, attempting a case-by-case analysis of the thousands of pending translator applications for compliance with that rule is not feasible.  </w:t>
      </w:r>
      <w:r w:rsidRPr="0009586C">
        <w:rPr>
          <w:i/>
        </w:rPr>
        <w:t xml:space="preserve">Id.  </w:t>
      </w:r>
      <w:r w:rsidRPr="000419D5">
        <w:t>The</w:t>
      </w:r>
      <w:r w:rsidRPr="00FC4814">
        <w:t xml:space="preserve"> Commission </w:t>
      </w:r>
      <w:r>
        <w:t xml:space="preserve">also </w:t>
      </w:r>
      <w:r w:rsidRPr="00FC4814">
        <w:t xml:space="preserve">stated </w:t>
      </w:r>
      <w:r>
        <w:t>that its per-market cap</w:t>
      </w:r>
      <w:r w:rsidRPr="00FC4814">
        <w:t xml:space="preserve"> restriction</w:t>
      </w:r>
      <w:r>
        <w:t xml:space="preserve">s </w:t>
      </w:r>
      <w:r w:rsidRPr="00FC4814">
        <w:t xml:space="preserve">also would advance the goal of the </w:t>
      </w:r>
      <w:r>
        <w:t>“</w:t>
      </w:r>
      <w:r w:rsidRPr="00CF5587">
        <w:t>Technical Need Rule</w:t>
      </w:r>
      <w:r>
        <w:t>”</w:t>
      </w:r>
      <w:r w:rsidRPr="00CF5587">
        <w:t xml:space="preserve"> </w:t>
      </w:r>
      <w:r w:rsidRPr="00FC4814">
        <w:t xml:space="preserve">to limit the licensing of multiple translators serving the same area to a single licensee.  </w:t>
      </w:r>
      <w:r w:rsidRPr="00FC4814">
        <w:rPr>
          <w:i/>
        </w:rPr>
        <w:t xml:space="preserve">See also </w:t>
      </w:r>
      <w:hyperlink r:id="rId17" w:tgtFrame="_top" w:history="1">
        <w:r w:rsidRPr="00FC4814">
          <w:rPr>
            <w:rStyle w:val="Hyperlink"/>
            <w:color w:val="auto"/>
            <w:u w:val="none"/>
          </w:rPr>
          <w:t>47 C.F.R. § 74.1232(b)</w:t>
        </w:r>
      </w:hyperlink>
      <w:r w:rsidRPr="00FC4814">
        <w:t xml:space="preserve">; </w:t>
      </w:r>
      <w:hyperlink r:id="rId18" w:tgtFrame="_top" w:history="1">
        <w:r w:rsidRPr="00FC4814">
          <w:rPr>
            <w:rStyle w:val="Hyperlink"/>
            <w:i/>
            <w:iCs/>
            <w:color w:val="auto"/>
            <w:u w:val="none"/>
          </w:rPr>
          <w:t>Fourth Report and Order</w:t>
        </w:r>
        <w:r w:rsidRPr="00FC4814">
          <w:rPr>
            <w:rStyle w:val="Hyperlink"/>
            <w:color w:val="auto"/>
            <w:u w:val="none"/>
          </w:rPr>
          <w:t>, 27 FCC Rcd at 3392</w:t>
        </w:r>
      </w:hyperlink>
      <w:r w:rsidRPr="00FC4814">
        <w:t xml:space="preserve"> (“Our translator rules contemplate that a party may receive an authorization for a second or third FM translator serving substantially the same area as the first only after making a ‘showing of technical need for such additional stations.’”)</w:t>
      </w:r>
      <w:r w:rsidR="006805EE">
        <w:t>.</w:t>
      </w:r>
      <w:r w:rsidRPr="00FC4814">
        <w:t xml:space="preserve"> </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A4D" w:rsidRDefault="00432A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A4D" w:rsidRDefault="00432A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DDD" w:rsidRDefault="00313F56">
    <w:pPr>
      <w:pStyle w:val="Header"/>
      <w:tabs>
        <w:tab w:val="clear" w:pos="4320"/>
        <w:tab w:val="clear" w:pos="8640"/>
      </w:tabs>
      <w:spacing w:before="360" w:line="228" w:lineRule="auto"/>
      <w:jc w:val="center"/>
    </w:pPr>
    <w:r>
      <w:rPr>
        <w:rFonts w:ascii="CG Times (W1)" w:hAnsi="CG Times (W1)"/>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1.8pt;margin-top:0;width:64.8pt;height:64.8pt;z-index:251657728;visibility:visible;mso-wrap-edited:f" o:allowincell="f" filled="t" fillcolor="#3cc">
          <v:imagedata r:id="rId1" o:title="" gain="69719f"/>
          <w10:wrap type="topAndBottom"/>
        </v:shape>
        <o:OLEObject Type="Embed" ProgID="Word.Picture.8" ShapeID="_x0000_s2049" DrawAspect="Content" ObjectID="_1428298901" r:id="rId2"/>
      </w:pict>
    </w:r>
    <w:r w:rsidR="00672DDD">
      <w:rPr>
        <w:rFonts w:ascii="CG Times (W1)" w:hAnsi="CG Times (W1)"/>
        <w:sz w:val="28"/>
      </w:rPr>
      <w:t>Federal Communications Commission</w:t>
    </w:r>
  </w:p>
  <w:p w:rsidR="00672DDD" w:rsidRDefault="00672DDD">
    <w:pPr>
      <w:jc w:val="center"/>
    </w:pPr>
    <w:r>
      <w:rPr>
        <w:rFonts w:ascii="CG Times (W1)" w:hAnsi="CG Times (W1)"/>
        <w:sz w:val="28"/>
      </w:rPr>
      <w:t>Washington, D.C. 20554</w:t>
    </w:r>
  </w:p>
  <w:p w:rsidR="00672DDD" w:rsidRPr="00756425" w:rsidRDefault="00BB39F5">
    <w:pPr>
      <w:pStyle w:val="Header"/>
      <w:tabs>
        <w:tab w:val="clear" w:pos="4320"/>
      </w:tabs>
      <w:jc w:val="center"/>
      <w:rPr>
        <w:b/>
      </w:rPr>
    </w:pPr>
    <w:r>
      <w:rPr>
        <w:b/>
      </w:rPr>
      <w:t>April 24, 2013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9F5"/>
    <w:rsid w:val="00001CA7"/>
    <w:rsid w:val="00001CFE"/>
    <w:rsid w:val="000024C2"/>
    <w:rsid w:val="00004D22"/>
    <w:rsid w:val="00004E7D"/>
    <w:rsid w:val="00006FC0"/>
    <w:rsid w:val="000119BB"/>
    <w:rsid w:val="00012922"/>
    <w:rsid w:val="00013BDA"/>
    <w:rsid w:val="00015E6A"/>
    <w:rsid w:val="00020223"/>
    <w:rsid w:val="0002268E"/>
    <w:rsid w:val="000350E5"/>
    <w:rsid w:val="00035908"/>
    <w:rsid w:val="000401DE"/>
    <w:rsid w:val="000419D5"/>
    <w:rsid w:val="0005083C"/>
    <w:rsid w:val="0005439C"/>
    <w:rsid w:val="000551A9"/>
    <w:rsid w:val="000617AB"/>
    <w:rsid w:val="000620CC"/>
    <w:rsid w:val="0006410F"/>
    <w:rsid w:val="00077550"/>
    <w:rsid w:val="00087C2E"/>
    <w:rsid w:val="00092A05"/>
    <w:rsid w:val="0009586C"/>
    <w:rsid w:val="000A2601"/>
    <w:rsid w:val="000A4802"/>
    <w:rsid w:val="000A5C7A"/>
    <w:rsid w:val="000B42C1"/>
    <w:rsid w:val="000D0B45"/>
    <w:rsid w:val="000E0657"/>
    <w:rsid w:val="000E3884"/>
    <w:rsid w:val="000F4C11"/>
    <w:rsid w:val="000F7FD7"/>
    <w:rsid w:val="001003BB"/>
    <w:rsid w:val="00106257"/>
    <w:rsid w:val="00107686"/>
    <w:rsid w:val="00112429"/>
    <w:rsid w:val="00115DDC"/>
    <w:rsid w:val="00123467"/>
    <w:rsid w:val="00134D61"/>
    <w:rsid w:val="00145593"/>
    <w:rsid w:val="001538C0"/>
    <w:rsid w:val="00153B4A"/>
    <w:rsid w:val="00160C6A"/>
    <w:rsid w:val="00177AF1"/>
    <w:rsid w:val="00181D4C"/>
    <w:rsid w:val="00182305"/>
    <w:rsid w:val="00197B0B"/>
    <w:rsid w:val="001A0358"/>
    <w:rsid w:val="001A19CF"/>
    <w:rsid w:val="001B2526"/>
    <w:rsid w:val="001C034F"/>
    <w:rsid w:val="001C117B"/>
    <w:rsid w:val="001C5DAA"/>
    <w:rsid w:val="001C631E"/>
    <w:rsid w:val="001D1652"/>
    <w:rsid w:val="001E5794"/>
    <w:rsid w:val="001F2271"/>
    <w:rsid w:val="00203254"/>
    <w:rsid w:val="0020381C"/>
    <w:rsid w:val="002047C5"/>
    <w:rsid w:val="00214084"/>
    <w:rsid w:val="00226172"/>
    <w:rsid w:val="002278C0"/>
    <w:rsid w:val="00236EA3"/>
    <w:rsid w:val="0025056D"/>
    <w:rsid w:val="00252CF2"/>
    <w:rsid w:val="0025408B"/>
    <w:rsid w:val="00254E86"/>
    <w:rsid w:val="00256E7C"/>
    <w:rsid w:val="002679BF"/>
    <w:rsid w:val="00271558"/>
    <w:rsid w:val="00286C78"/>
    <w:rsid w:val="00295D34"/>
    <w:rsid w:val="002B5872"/>
    <w:rsid w:val="002C0747"/>
    <w:rsid w:val="002C3081"/>
    <w:rsid w:val="002D13B3"/>
    <w:rsid w:val="002D56AE"/>
    <w:rsid w:val="002E0504"/>
    <w:rsid w:val="002F42FE"/>
    <w:rsid w:val="00310589"/>
    <w:rsid w:val="003109BD"/>
    <w:rsid w:val="00312303"/>
    <w:rsid w:val="00313F56"/>
    <w:rsid w:val="00330845"/>
    <w:rsid w:val="00335977"/>
    <w:rsid w:val="003422F0"/>
    <w:rsid w:val="00342CC1"/>
    <w:rsid w:val="003437E4"/>
    <w:rsid w:val="003508E3"/>
    <w:rsid w:val="0035455F"/>
    <w:rsid w:val="00364FF1"/>
    <w:rsid w:val="00375E3C"/>
    <w:rsid w:val="00376684"/>
    <w:rsid w:val="00382F24"/>
    <w:rsid w:val="0038785F"/>
    <w:rsid w:val="003A4627"/>
    <w:rsid w:val="003A56C9"/>
    <w:rsid w:val="003A7DBD"/>
    <w:rsid w:val="003B50B7"/>
    <w:rsid w:val="003B5BA6"/>
    <w:rsid w:val="003C2EC5"/>
    <w:rsid w:val="003C7054"/>
    <w:rsid w:val="003D53A4"/>
    <w:rsid w:val="003E2A21"/>
    <w:rsid w:val="003E61C0"/>
    <w:rsid w:val="003E7438"/>
    <w:rsid w:val="003F2BC8"/>
    <w:rsid w:val="004006F9"/>
    <w:rsid w:val="00402329"/>
    <w:rsid w:val="00427189"/>
    <w:rsid w:val="004323CD"/>
    <w:rsid w:val="004323F3"/>
    <w:rsid w:val="00432A4D"/>
    <w:rsid w:val="004374D6"/>
    <w:rsid w:val="004430E4"/>
    <w:rsid w:val="00443D95"/>
    <w:rsid w:val="00445269"/>
    <w:rsid w:val="00446978"/>
    <w:rsid w:val="004549AC"/>
    <w:rsid w:val="00454B05"/>
    <w:rsid w:val="00464631"/>
    <w:rsid w:val="00472E0E"/>
    <w:rsid w:val="00486906"/>
    <w:rsid w:val="00487479"/>
    <w:rsid w:val="0049270C"/>
    <w:rsid w:val="004951A9"/>
    <w:rsid w:val="004A4455"/>
    <w:rsid w:val="004B4120"/>
    <w:rsid w:val="004C3D0F"/>
    <w:rsid w:val="004E3984"/>
    <w:rsid w:val="004F13D9"/>
    <w:rsid w:val="004F27C4"/>
    <w:rsid w:val="004F59C0"/>
    <w:rsid w:val="004F6EDF"/>
    <w:rsid w:val="0050276E"/>
    <w:rsid w:val="00513353"/>
    <w:rsid w:val="00517927"/>
    <w:rsid w:val="005277AA"/>
    <w:rsid w:val="005305E7"/>
    <w:rsid w:val="00530884"/>
    <w:rsid w:val="00530F71"/>
    <w:rsid w:val="005432CD"/>
    <w:rsid w:val="005509B8"/>
    <w:rsid w:val="0056462E"/>
    <w:rsid w:val="00575502"/>
    <w:rsid w:val="005A14D0"/>
    <w:rsid w:val="005A6C80"/>
    <w:rsid w:val="005B0DBB"/>
    <w:rsid w:val="005B4DEB"/>
    <w:rsid w:val="005B7EFA"/>
    <w:rsid w:val="005D1EFD"/>
    <w:rsid w:val="005D27F0"/>
    <w:rsid w:val="005E3CF2"/>
    <w:rsid w:val="005F08D5"/>
    <w:rsid w:val="005F1A71"/>
    <w:rsid w:val="00607D9F"/>
    <w:rsid w:val="00617533"/>
    <w:rsid w:val="00620E98"/>
    <w:rsid w:val="00627D92"/>
    <w:rsid w:val="00632D8A"/>
    <w:rsid w:val="00641317"/>
    <w:rsid w:val="006446BB"/>
    <w:rsid w:val="0065061D"/>
    <w:rsid w:val="006552D3"/>
    <w:rsid w:val="00672DDD"/>
    <w:rsid w:val="006805EE"/>
    <w:rsid w:val="006846D4"/>
    <w:rsid w:val="006872A5"/>
    <w:rsid w:val="00692A92"/>
    <w:rsid w:val="00692CC2"/>
    <w:rsid w:val="00697493"/>
    <w:rsid w:val="006B5954"/>
    <w:rsid w:val="006C5BFC"/>
    <w:rsid w:val="006C684C"/>
    <w:rsid w:val="006D6EB9"/>
    <w:rsid w:val="006E493A"/>
    <w:rsid w:val="006F2977"/>
    <w:rsid w:val="006F52A3"/>
    <w:rsid w:val="0070370E"/>
    <w:rsid w:val="00745885"/>
    <w:rsid w:val="00756425"/>
    <w:rsid w:val="00766E33"/>
    <w:rsid w:val="0079706E"/>
    <w:rsid w:val="00797E23"/>
    <w:rsid w:val="007B081A"/>
    <w:rsid w:val="007C48BB"/>
    <w:rsid w:val="007C52A7"/>
    <w:rsid w:val="007D02CD"/>
    <w:rsid w:val="007D2985"/>
    <w:rsid w:val="007D6BFC"/>
    <w:rsid w:val="007F6823"/>
    <w:rsid w:val="007F6850"/>
    <w:rsid w:val="00815D79"/>
    <w:rsid w:val="0082029C"/>
    <w:rsid w:val="008427E1"/>
    <w:rsid w:val="00843CF3"/>
    <w:rsid w:val="0084688C"/>
    <w:rsid w:val="00872774"/>
    <w:rsid w:val="00872C0B"/>
    <w:rsid w:val="00880578"/>
    <w:rsid w:val="00887123"/>
    <w:rsid w:val="008902A7"/>
    <w:rsid w:val="00892100"/>
    <w:rsid w:val="008964C2"/>
    <w:rsid w:val="008A1F82"/>
    <w:rsid w:val="008A3529"/>
    <w:rsid w:val="008B4026"/>
    <w:rsid w:val="008C34C9"/>
    <w:rsid w:val="008D191D"/>
    <w:rsid w:val="008D1CD2"/>
    <w:rsid w:val="008D4FFB"/>
    <w:rsid w:val="008F2A23"/>
    <w:rsid w:val="008F47A1"/>
    <w:rsid w:val="008F4B3D"/>
    <w:rsid w:val="009042F4"/>
    <w:rsid w:val="00904CFA"/>
    <w:rsid w:val="0092093F"/>
    <w:rsid w:val="009305E1"/>
    <w:rsid w:val="00936CB4"/>
    <w:rsid w:val="009415C7"/>
    <w:rsid w:val="0094360E"/>
    <w:rsid w:val="00944533"/>
    <w:rsid w:val="009453E2"/>
    <w:rsid w:val="0096111A"/>
    <w:rsid w:val="00973611"/>
    <w:rsid w:val="00975C71"/>
    <w:rsid w:val="00987270"/>
    <w:rsid w:val="009959DD"/>
    <w:rsid w:val="009971B6"/>
    <w:rsid w:val="009A76CB"/>
    <w:rsid w:val="009B7807"/>
    <w:rsid w:val="009C284A"/>
    <w:rsid w:val="009D1C29"/>
    <w:rsid w:val="009D2FC9"/>
    <w:rsid w:val="009D6D8F"/>
    <w:rsid w:val="009E01D7"/>
    <w:rsid w:val="009E0BA7"/>
    <w:rsid w:val="00A16EFA"/>
    <w:rsid w:val="00A259C5"/>
    <w:rsid w:val="00A264E1"/>
    <w:rsid w:val="00A35260"/>
    <w:rsid w:val="00A35885"/>
    <w:rsid w:val="00A41757"/>
    <w:rsid w:val="00A423CE"/>
    <w:rsid w:val="00A47C05"/>
    <w:rsid w:val="00A50B49"/>
    <w:rsid w:val="00A51B31"/>
    <w:rsid w:val="00A664AA"/>
    <w:rsid w:val="00A713EA"/>
    <w:rsid w:val="00A71CE8"/>
    <w:rsid w:val="00A76F39"/>
    <w:rsid w:val="00A8721A"/>
    <w:rsid w:val="00A876C7"/>
    <w:rsid w:val="00AA7C7C"/>
    <w:rsid w:val="00AB1351"/>
    <w:rsid w:val="00AB1FA4"/>
    <w:rsid w:val="00AB24A2"/>
    <w:rsid w:val="00AB28A4"/>
    <w:rsid w:val="00AB4BFD"/>
    <w:rsid w:val="00AB50D2"/>
    <w:rsid w:val="00AB5C3E"/>
    <w:rsid w:val="00AB7D55"/>
    <w:rsid w:val="00AC5B65"/>
    <w:rsid w:val="00AC74E1"/>
    <w:rsid w:val="00AD01CA"/>
    <w:rsid w:val="00AD35F7"/>
    <w:rsid w:val="00AD538C"/>
    <w:rsid w:val="00AD76A1"/>
    <w:rsid w:val="00AE72F0"/>
    <w:rsid w:val="00AF6C02"/>
    <w:rsid w:val="00B0126B"/>
    <w:rsid w:val="00B06A5B"/>
    <w:rsid w:val="00B07CC7"/>
    <w:rsid w:val="00B10FC9"/>
    <w:rsid w:val="00B2461E"/>
    <w:rsid w:val="00B26A35"/>
    <w:rsid w:val="00B45066"/>
    <w:rsid w:val="00B474D0"/>
    <w:rsid w:val="00B610E5"/>
    <w:rsid w:val="00B64479"/>
    <w:rsid w:val="00B70CD9"/>
    <w:rsid w:val="00B77819"/>
    <w:rsid w:val="00B84288"/>
    <w:rsid w:val="00B912ED"/>
    <w:rsid w:val="00B97845"/>
    <w:rsid w:val="00BA30F4"/>
    <w:rsid w:val="00BA4ED0"/>
    <w:rsid w:val="00BB204B"/>
    <w:rsid w:val="00BB39F5"/>
    <w:rsid w:val="00BB64A0"/>
    <w:rsid w:val="00BC2CE3"/>
    <w:rsid w:val="00BC5999"/>
    <w:rsid w:val="00BD56FF"/>
    <w:rsid w:val="00BE0B45"/>
    <w:rsid w:val="00BE530D"/>
    <w:rsid w:val="00BF30E9"/>
    <w:rsid w:val="00BF4F4D"/>
    <w:rsid w:val="00C0507F"/>
    <w:rsid w:val="00C07F62"/>
    <w:rsid w:val="00C1692C"/>
    <w:rsid w:val="00C21985"/>
    <w:rsid w:val="00C24243"/>
    <w:rsid w:val="00C255F2"/>
    <w:rsid w:val="00C26F47"/>
    <w:rsid w:val="00C30B14"/>
    <w:rsid w:val="00C34CCC"/>
    <w:rsid w:val="00C36045"/>
    <w:rsid w:val="00C414C6"/>
    <w:rsid w:val="00C52ECF"/>
    <w:rsid w:val="00C530CB"/>
    <w:rsid w:val="00C56BC2"/>
    <w:rsid w:val="00C57019"/>
    <w:rsid w:val="00C60C8F"/>
    <w:rsid w:val="00C63C56"/>
    <w:rsid w:val="00C64403"/>
    <w:rsid w:val="00C70654"/>
    <w:rsid w:val="00C73956"/>
    <w:rsid w:val="00C75EBA"/>
    <w:rsid w:val="00C81405"/>
    <w:rsid w:val="00C816E5"/>
    <w:rsid w:val="00C82CDB"/>
    <w:rsid w:val="00C8333F"/>
    <w:rsid w:val="00C83AF5"/>
    <w:rsid w:val="00C84B74"/>
    <w:rsid w:val="00C951CE"/>
    <w:rsid w:val="00CA714B"/>
    <w:rsid w:val="00CB1E50"/>
    <w:rsid w:val="00CB2A18"/>
    <w:rsid w:val="00CB72E0"/>
    <w:rsid w:val="00CC0E4F"/>
    <w:rsid w:val="00CC2B4D"/>
    <w:rsid w:val="00CC6211"/>
    <w:rsid w:val="00CD2639"/>
    <w:rsid w:val="00CD6062"/>
    <w:rsid w:val="00CE0B30"/>
    <w:rsid w:val="00CF5587"/>
    <w:rsid w:val="00D00CF5"/>
    <w:rsid w:val="00D111FF"/>
    <w:rsid w:val="00D166F7"/>
    <w:rsid w:val="00D221EE"/>
    <w:rsid w:val="00D32405"/>
    <w:rsid w:val="00D43EA9"/>
    <w:rsid w:val="00D45401"/>
    <w:rsid w:val="00D527C0"/>
    <w:rsid w:val="00D613EA"/>
    <w:rsid w:val="00D63089"/>
    <w:rsid w:val="00D71638"/>
    <w:rsid w:val="00D73E6F"/>
    <w:rsid w:val="00D75010"/>
    <w:rsid w:val="00D77B2F"/>
    <w:rsid w:val="00D80E4C"/>
    <w:rsid w:val="00DA3F15"/>
    <w:rsid w:val="00DA4596"/>
    <w:rsid w:val="00DA55F2"/>
    <w:rsid w:val="00DA730A"/>
    <w:rsid w:val="00DB1336"/>
    <w:rsid w:val="00DC15B2"/>
    <w:rsid w:val="00DC267B"/>
    <w:rsid w:val="00DD1E95"/>
    <w:rsid w:val="00DD4A43"/>
    <w:rsid w:val="00DE5048"/>
    <w:rsid w:val="00E04460"/>
    <w:rsid w:val="00E21CB9"/>
    <w:rsid w:val="00E347EE"/>
    <w:rsid w:val="00E42F00"/>
    <w:rsid w:val="00E43AEB"/>
    <w:rsid w:val="00E44958"/>
    <w:rsid w:val="00E52B78"/>
    <w:rsid w:val="00E53011"/>
    <w:rsid w:val="00E55863"/>
    <w:rsid w:val="00E618B9"/>
    <w:rsid w:val="00E622E2"/>
    <w:rsid w:val="00E6675F"/>
    <w:rsid w:val="00E7345D"/>
    <w:rsid w:val="00E90CE2"/>
    <w:rsid w:val="00EA15F6"/>
    <w:rsid w:val="00EA24FF"/>
    <w:rsid w:val="00EB5261"/>
    <w:rsid w:val="00EB5539"/>
    <w:rsid w:val="00EC0E76"/>
    <w:rsid w:val="00EC749B"/>
    <w:rsid w:val="00EF2342"/>
    <w:rsid w:val="00EF68A0"/>
    <w:rsid w:val="00F05E15"/>
    <w:rsid w:val="00F07986"/>
    <w:rsid w:val="00F119CE"/>
    <w:rsid w:val="00F36859"/>
    <w:rsid w:val="00F4138E"/>
    <w:rsid w:val="00F4642C"/>
    <w:rsid w:val="00F47D19"/>
    <w:rsid w:val="00F50F7A"/>
    <w:rsid w:val="00F521C8"/>
    <w:rsid w:val="00F57012"/>
    <w:rsid w:val="00F634A0"/>
    <w:rsid w:val="00F65BAF"/>
    <w:rsid w:val="00F812FD"/>
    <w:rsid w:val="00F92DE1"/>
    <w:rsid w:val="00F94EF5"/>
    <w:rsid w:val="00F96A03"/>
    <w:rsid w:val="00FA0B2C"/>
    <w:rsid w:val="00FA1F8D"/>
    <w:rsid w:val="00FA5509"/>
    <w:rsid w:val="00FA5B8B"/>
    <w:rsid w:val="00FB4230"/>
    <w:rsid w:val="00FB612D"/>
    <w:rsid w:val="00FB6BE8"/>
    <w:rsid w:val="00FC0E08"/>
    <w:rsid w:val="00FC22EA"/>
    <w:rsid w:val="00FC3BD7"/>
    <w:rsid w:val="00FC4814"/>
    <w:rsid w:val="00FC4AFE"/>
    <w:rsid w:val="00FD1D91"/>
    <w:rsid w:val="00FD33DE"/>
    <w:rsid w:val="00FD37E6"/>
    <w:rsid w:val="00FE5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FootnoteText">
    <w:name w:val="footnote text"/>
    <w:aliases w:val="Footnote Text Char1 Char,Footnote Text Char Char Char,Footnote Text Char1 Char Char Char,Footnote Text Char Char Char Char Char,Footnote Text Char1 Char Char Char Char Char,rrfootnote Char Char Char Char Char Char,f,fn"/>
    <w:basedOn w:val="Normal"/>
    <w:link w:val="FootnoteTextChar"/>
    <w:semiHidden/>
    <w:rsid w:val="00672DDD"/>
  </w:style>
  <w:style w:type="character" w:styleId="FootnoteReference">
    <w:name w:val="footnote reference"/>
    <w:aliases w:val="Style 12,(NECG) Footnote Reference,o,fr,Style 3,Appel note de bas de p,Style 124,Style 13"/>
    <w:semiHidden/>
    <w:rsid w:val="00672DDD"/>
    <w:rPr>
      <w:vertAlign w:val="superscript"/>
    </w:rPr>
  </w:style>
  <w:style w:type="character" w:styleId="Hyperlink">
    <w:name w:val="Hyperlink"/>
    <w:rsid w:val="00F812FD"/>
    <w:rPr>
      <w:color w:val="0000FF"/>
      <w:u w:val="single"/>
    </w:rPr>
  </w:style>
  <w:style w:type="character" w:customStyle="1" w:styleId="FooterChar">
    <w:name w:val="Footer Char"/>
    <w:link w:val="Footer"/>
    <w:uiPriority w:val="99"/>
    <w:rsid w:val="00F521C8"/>
  </w:style>
  <w:style w:type="character" w:styleId="CommentReference">
    <w:name w:val="annotation reference"/>
    <w:rsid w:val="00A51B31"/>
    <w:rPr>
      <w:sz w:val="16"/>
      <w:szCs w:val="16"/>
    </w:rPr>
  </w:style>
  <w:style w:type="paragraph" w:styleId="CommentText">
    <w:name w:val="annotation text"/>
    <w:basedOn w:val="Normal"/>
    <w:link w:val="CommentTextChar"/>
    <w:rsid w:val="00A51B31"/>
  </w:style>
  <w:style w:type="character" w:customStyle="1" w:styleId="CommentTextChar">
    <w:name w:val="Comment Text Char"/>
    <w:basedOn w:val="DefaultParagraphFont"/>
    <w:link w:val="CommentText"/>
    <w:rsid w:val="00A51B31"/>
  </w:style>
  <w:style w:type="paragraph" w:styleId="CommentSubject">
    <w:name w:val="annotation subject"/>
    <w:basedOn w:val="CommentText"/>
    <w:next w:val="CommentText"/>
    <w:link w:val="CommentSubjectChar"/>
    <w:rsid w:val="00A51B31"/>
    <w:rPr>
      <w:b/>
      <w:bCs/>
    </w:rPr>
  </w:style>
  <w:style w:type="character" w:customStyle="1" w:styleId="CommentSubjectChar">
    <w:name w:val="Comment Subject Char"/>
    <w:link w:val="CommentSubject"/>
    <w:rsid w:val="00A51B31"/>
    <w:rPr>
      <w:b/>
      <w:bCs/>
    </w:rPr>
  </w:style>
  <w:style w:type="paragraph" w:styleId="BalloonText">
    <w:name w:val="Balloon Text"/>
    <w:basedOn w:val="Normal"/>
    <w:link w:val="BalloonTextChar"/>
    <w:rsid w:val="00A51B31"/>
    <w:rPr>
      <w:rFonts w:ascii="Tahoma" w:hAnsi="Tahoma" w:cs="Tahoma"/>
      <w:sz w:val="16"/>
      <w:szCs w:val="16"/>
    </w:rPr>
  </w:style>
  <w:style w:type="character" w:customStyle="1" w:styleId="BalloonTextChar">
    <w:name w:val="Balloon Text Char"/>
    <w:link w:val="BalloonText"/>
    <w:rsid w:val="00A51B31"/>
    <w:rPr>
      <w:rFonts w:ascii="Tahoma" w:hAnsi="Tahoma" w:cs="Tahoma"/>
      <w:sz w:val="16"/>
      <w:szCs w:val="16"/>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 Char Char Char Char Char,f Char,fn Char"/>
    <w:link w:val="FootnoteText"/>
    <w:semiHidden/>
    <w:rsid w:val="00B26A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FootnoteText">
    <w:name w:val="footnote text"/>
    <w:aliases w:val="Footnote Text Char1 Char,Footnote Text Char Char Char,Footnote Text Char1 Char Char Char,Footnote Text Char Char Char Char Char,Footnote Text Char1 Char Char Char Char Char,rrfootnote Char Char Char Char Char Char,f,fn"/>
    <w:basedOn w:val="Normal"/>
    <w:link w:val="FootnoteTextChar"/>
    <w:semiHidden/>
    <w:rsid w:val="00672DDD"/>
  </w:style>
  <w:style w:type="character" w:styleId="FootnoteReference">
    <w:name w:val="footnote reference"/>
    <w:aliases w:val="Style 12,(NECG) Footnote Reference,o,fr,Style 3,Appel note de bas de p,Style 124,Style 13"/>
    <w:semiHidden/>
    <w:rsid w:val="00672DDD"/>
    <w:rPr>
      <w:vertAlign w:val="superscript"/>
    </w:rPr>
  </w:style>
  <w:style w:type="character" w:styleId="Hyperlink">
    <w:name w:val="Hyperlink"/>
    <w:rsid w:val="00F812FD"/>
    <w:rPr>
      <w:color w:val="0000FF"/>
      <w:u w:val="single"/>
    </w:rPr>
  </w:style>
  <w:style w:type="character" w:customStyle="1" w:styleId="FooterChar">
    <w:name w:val="Footer Char"/>
    <w:link w:val="Footer"/>
    <w:uiPriority w:val="99"/>
    <w:rsid w:val="00F521C8"/>
  </w:style>
  <w:style w:type="character" w:styleId="CommentReference">
    <w:name w:val="annotation reference"/>
    <w:rsid w:val="00A51B31"/>
    <w:rPr>
      <w:sz w:val="16"/>
      <w:szCs w:val="16"/>
    </w:rPr>
  </w:style>
  <w:style w:type="paragraph" w:styleId="CommentText">
    <w:name w:val="annotation text"/>
    <w:basedOn w:val="Normal"/>
    <w:link w:val="CommentTextChar"/>
    <w:rsid w:val="00A51B31"/>
  </w:style>
  <w:style w:type="character" w:customStyle="1" w:styleId="CommentTextChar">
    <w:name w:val="Comment Text Char"/>
    <w:basedOn w:val="DefaultParagraphFont"/>
    <w:link w:val="CommentText"/>
    <w:rsid w:val="00A51B31"/>
  </w:style>
  <w:style w:type="paragraph" w:styleId="CommentSubject">
    <w:name w:val="annotation subject"/>
    <w:basedOn w:val="CommentText"/>
    <w:next w:val="CommentText"/>
    <w:link w:val="CommentSubjectChar"/>
    <w:rsid w:val="00A51B31"/>
    <w:rPr>
      <w:b/>
      <w:bCs/>
    </w:rPr>
  </w:style>
  <w:style w:type="character" w:customStyle="1" w:styleId="CommentSubjectChar">
    <w:name w:val="Comment Subject Char"/>
    <w:link w:val="CommentSubject"/>
    <w:rsid w:val="00A51B31"/>
    <w:rPr>
      <w:b/>
      <w:bCs/>
    </w:rPr>
  </w:style>
  <w:style w:type="paragraph" w:styleId="BalloonText">
    <w:name w:val="Balloon Text"/>
    <w:basedOn w:val="Normal"/>
    <w:link w:val="BalloonTextChar"/>
    <w:rsid w:val="00A51B31"/>
    <w:rPr>
      <w:rFonts w:ascii="Tahoma" w:hAnsi="Tahoma" w:cs="Tahoma"/>
      <w:sz w:val="16"/>
      <w:szCs w:val="16"/>
    </w:rPr>
  </w:style>
  <w:style w:type="character" w:customStyle="1" w:styleId="BalloonTextChar">
    <w:name w:val="Balloon Text Char"/>
    <w:link w:val="BalloonText"/>
    <w:rsid w:val="00A51B31"/>
    <w:rPr>
      <w:rFonts w:ascii="Tahoma" w:hAnsi="Tahoma" w:cs="Tahoma"/>
      <w:sz w:val="16"/>
      <w:szCs w:val="16"/>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 Char Char Char Char Char,f Char,fn Char"/>
    <w:link w:val="FootnoteText"/>
    <w:semiHidden/>
    <w:rsid w:val="00B26A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582712">
      <w:bodyDiv w:val="1"/>
      <w:marLeft w:val="30"/>
      <w:marRight w:val="30"/>
      <w:marTop w:val="30"/>
      <w:marBottom w:val="30"/>
      <w:divBdr>
        <w:top w:val="none" w:sz="0" w:space="0" w:color="auto"/>
        <w:left w:val="none" w:sz="0" w:space="0" w:color="auto"/>
        <w:bottom w:val="none" w:sz="0" w:space="0" w:color="auto"/>
        <w:right w:val="none" w:sz="0" w:space="0" w:color="auto"/>
      </w:divBdr>
      <w:divsChild>
        <w:div w:id="984118712">
          <w:marLeft w:val="0"/>
          <w:marRight w:val="0"/>
          <w:marTop w:val="0"/>
          <w:marBottom w:val="0"/>
          <w:divBdr>
            <w:top w:val="none" w:sz="0" w:space="0" w:color="auto"/>
            <w:left w:val="none" w:sz="0" w:space="0" w:color="auto"/>
            <w:bottom w:val="none" w:sz="0" w:space="0" w:color="auto"/>
            <w:right w:val="none" w:sz="0" w:space="0" w:color="auto"/>
          </w:divBdr>
          <w:divsChild>
            <w:div w:id="10381110">
              <w:marLeft w:val="45"/>
              <w:marRight w:val="45"/>
              <w:marTop w:val="45"/>
              <w:marBottom w:val="45"/>
              <w:divBdr>
                <w:top w:val="none" w:sz="0" w:space="0" w:color="auto"/>
                <w:left w:val="none" w:sz="0" w:space="0" w:color="auto"/>
                <w:bottom w:val="none" w:sz="0" w:space="0" w:color="auto"/>
                <w:right w:val="none" w:sz="0" w:space="0" w:color="auto"/>
              </w:divBdr>
              <w:divsChild>
                <w:div w:id="1902397088">
                  <w:marLeft w:val="0"/>
                  <w:marRight w:val="0"/>
                  <w:marTop w:val="0"/>
                  <w:marBottom w:val="0"/>
                  <w:divBdr>
                    <w:top w:val="none" w:sz="0" w:space="0" w:color="auto"/>
                    <w:left w:val="none" w:sz="0" w:space="0" w:color="auto"/>
                    <w:bottom w:val="none" w:sz="0" w:space="0" w:color="auto"/>
                    <w:right w:val="none" w:sz="0" w:space="0" w:color="auto"/>
                  </w:divBdr>
                  <w:divsChild>
                    <w:div w:id="12710833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431315678">
      <w:bodyDiv w:val="1"/>
      <w:marLeft w:val="30"/>
      <w:marRight w:val="30"/>
      <w:marTop w:val="30"/>
      <w:marBottom w:val="30"/>
      <w:divBdr>
        <w:top w:val="none" w:sz="0" w:space="0" w:color="auto"/>
        <w:left w:val="none" w:sz="0" w:space="0" w:color="auto"/>
        <w:bottom w:val="none" w:sz="0" w:space="0" w:color="auto"/>
        <w:right w:val="none" w:sz="0" w:space="0" w:color="auto"/>
      </w:divBdr>
      <w:divsChild>
        <w:div w:id="778183811">
          <w:marLeft w:val="0"/>
          <w:marRight w:val="0"/>
          <w:marTop w:val="0"/>
          <w:marBottom w:val="0"/>
          <w:divBdr>
            <w:top w:val="none" w:sz="0" w:space="0" w:color="auto"/>
            <w:left w:val="none" w:sz="0" w:space="0" w:color="auto"/>
            <w:bottom w:val="none" w:sz="0" w:space="0" w:color="auto"/>
            <w:right w:val="none" w:sz="0" w:space="0" w:color="auto"/>
          </w:divBdr>
          <w:divsChild>
            <w:div w:id="1991714016">
              <w:marLeft w:val="45"/>
              <w:marRight w:val="45"/>
              <w:marTop w:val="45"/>
              <w:marBottom w:val="45"/>
              <w:divBdr>
                <w:top w:val="none" w:sz="0" w:space="0" w:color="auto"/>
                <w:left w:val="none" w:sz="0" w:space="0" w:color="auto"/>
                <w:bottom w:val="none" w:sz="0" w:space="0" w:color="auto"/>
                <w:right w:val="none" w:sz="0" w:space="0" w:color="auto"/>
              </w:divBdr>
              <w:divsChild>
                <w:div w:id="909845379">
                  <w:marLeft w:val="0"/>
                  <w:marRight w:val="0"/>
                  <w:marTop w:val="0"/>
                  <w:marBottom w:val="0"/>
                  <w:divBdr>
                    <w:top w:val="none" w:sz="0" w:space="0" w:color="auto"/>
                    <w:left w:val="none" w:sz="0" w:space="0" w:color="auto"/>
                    <w:bottom w:val="none" w:sz="0" w:space="0" w:color="auto"/>
                    <w:right w:val="none" w:sz="0" w:space="0" w:color="auto"/>
                  </w:divBdr>
                  <w:divsChild>
                    <w:div w:id="15748559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49231583">
      <w:bodyDiv w:val="1"/>
      <w:marLeft w:val="30"/>
      <w:marRight w:val="30"/>
      <w:marTop w:val="30"/>
      <w:marBottom w:val="30"/>
      <w:divBdr>
        <w:top w:val="none" w:sz="0" w:space="0" w:color="auto"/>
        <w:left w:val="none" w:sz="0" w:space="0" w:color="auto"/>
        <w:bottom w:val="none" w:sz="0" w:space="0" w:color="auto"/>
        <w:right w:val="none" w:sz="0" w:space="0" w:color="auto"/>
      </w:divBdr>
      <w:divsChild>
        <w:div w:id="1553154746">
          <w:marLeft w:val="0"/>
          <w:marRight w:val="0"/>
          <w:marTop w:val="0"/>
          <w:marBottom w:val="0"/>
          <w:divBdr>
            <w:top w:val="none" w:sz="0" w:space="0" w:color="auto"/>
            <w:left w:val="none" w:sz="0" w:space="0" w:color="auto"/>
            <w:bottom w:val="none" w:sz="0" w:space="0" w:color="auto"/>
            <w:right w:val="none" w:sz="0" w:space="0" w:color="auto"/>
          </w:divBdr>
          <w:divsChild>
            <w:div w:id="2000965637">
              <w:marLeft w:val="45"/>
              <w:marRight w:val="45"/>
              <w:marTop w:val="45"/>
              <w:marBottom w:val="45"/>
              <w:divBdr>
                <w:top w:val="none" w:sz="0" w:space="0" w:color="auto"/>
                <w:left w:val="none" w:sz="0" w:space="0" w:color="auto"/>
                <w:bottom w:val="none" w:sz="0" w:space="0" w:color="auto"/>
                <w:right w:val="none" w:sz="0" w:space="0" w:color="auto"/>
              </w:divBdr>
              <w:divsChild>
                <w:div w:id="1409575306">
                  <w:marLeft w:val="0"/>
                  <w:marRight w:val="0"/>
                  <w:marTop w:val="0"/>
                  <w:marBottom w:val="0"/>
                  <w:divBdr>
                    <w:top w:val="none" w:sz="0" w:space="0" w:color="auto"/>
                    <w:left w:val="none" w:sz="0" w:space="0" w:color="auto"/>
                    <w:bottom w:val="none" w:sz="0" w:space="0" w:color="auto"/>
                    <w:right w:val="none" w:sz="0" w:space="0" w:color="auto"/>
                  </w:divBdr>
                  <w:divsChild>
                    <w:div w:id="4897115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011718671">
      <w:bodyDiv w:val="1"/>
      <w:marLeft w:val="30"/>
      <w:marRight w:val="30"/>
      <w:marTop w:val="30"/>
      <w:marBottom w:val="30"/>
      <w:divBdr>
        <w:top w:val="none" w:sz="0" w:space="0" w:color="auto"/>
        <w:left w:val="none" w:sz="0" w:space="0" w:color="auto"/>
        <w:bottom w:val="none" w:sz="0" w:space="0" w:color="auto"/>
        <w:right w:val="none" w:sz="0" w:space="0" w:color="auto"/>
      </w:divBdr>
      <w:divsChild>
        <w:div w:id="1145505916">
          <w:marLeft w:val="0"/>
          <w:marRight w:val="0"/>
          <w:marTop w:val="0"/>
          <w:marBottom w:val="0"/>
          <w:divBdr>
            <w:top w:val="none" w:sz="0" w:space="0" w:color="auto"/>
            <w:left w:val="none" w:sz="0" w:space="0" w:color="auto"/>
            <w:bottom w:val="none" w:sz="0" w:space="0" w:color="auto"/>
            <w:right w:val="none" w:sz="0" w:space="0" w:color="auto"/>
          </w:divBdr>
          <w:divsChild>
            <w:div w:id="1597597768">
              <w:marLeft w:val="45"/>
              <w:marRight w:val="45"/>
              <w:marTop w:val="45"/>
              <w:marBottom w:val="45"/>
              <w:divBdr>
                <w:top w:val="none" w:sz="0" w:space="0" w:color="auto"/>
                <w:left w:val="none" w:sz="0" w:space="0" w:color="auto"/>
                <w:bottom w:val="none" w:sz="0" w:space="0" w:color="auto"/>
                <w:right w:val="none" w:sz="0" w:space="0" w:color="auto"/>
              </w:divBdr>
              <w:divsChild>
                <w:div w:id="1974671694">
                  <w:marLeft w:val="0"/>
                  <w:marRight w:val="0"/>
                  <w:marTop w:val="0"/>
                  <w:marBottom w:val="0"/>
                  <w:divBdr>
                    <w:top w:val="none" w:sz="0" w:space="0" w:color="auto"/>
                    <w:left w:val="none" w:sz="0" w:space="0" w:color="auto"/>
                    <w:bottom w:val="none" w:sz="0" w:space="0" w:color="auto"/>
                    <w:right w:val="none" w:sz="0" w:space="0" w:color="auto"/>
                  </w:divBdr>
                  <w:divsChild>
                    <w:div w:id="9517427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079942008">
      <w:bodyDiv w:val="1"/>
      <w:marLeft w:val="30"/>
      <w:marRight w:val="30"/>
      <w:marTop w:val="30"/>
      <w:marBottom w:val="30"/>
      <w:divBdr>
        <w:top w:val="none" w:sz="0" w:space="0" w:color="auto"/>
        <w:left w:val="none" w:sz="0" w:space="0" w:color="auto"/>
        <w:bottom w:val="none" w:sz="0" w:space="0" w:color="auto"/>
        <w:right w:val="none" w:sz="0" w:space="0" w:color="auto"/>
      </w:divBdr>
      <w:divsChild>
        <w:div w:id="209659796">
          <w:marLeft w:val="0"/>
          <w:marRight w:val="0"/>
          <w:marTop w:val="0"/>
          <w:marBottom w:val="0"/>
          <w:divBdr>
            <w:top w:val="none" w:sz="0" w:space="0" w:color="auto"/>
            <w:left w:val="none" w:sz="0" w:space="0" w:color="auto"/>
            <w:bottom w:val="none" w:sz="0" w:space="0" w:color="auto"/>
            <w:right w:val="none" w:sz="0" w:space="0" w:color="auto"/>
          </w:divBdr>
          <w:divsChild>
            <w:div w:id="382025249">
              <w:marLeft w:val="45"/>
              <w:marRight w:val="45"/>
              <w:marTop w:val="45"/>
              <w:marBottom w:val="45"/>
              <w:divBdr>
                <w:top w:val="none" w:sz="0" w:space="0" w:color="auto"/>
                <w:left w:val="none" w:sz="0" w:space="0" w:color="auto"/>
                <w:bottom w:val="none" w:sz="0" w:space="0" w:color="auto"/>
                <w:right w:val="none" w:sz="0" w:space="0" w:color="auto"/>
              </w:divBdr>
              <w:divsChild>
                <w:div w:id="836506532">
                  <w:marLeft w:val="0"/>
                  <w:marRight w:val="0"/>
                  <w:marTop w:val="0"/>
                  <w:marBottom w:val="0"/>
                  <w:divBdr>
                    <w:top w:val="none" w:sz="0" w:space="0" w:color="auto"/>
                    <w:left w:val="none" w:sz="0" w:space="0" w:color="auto"/>
                    <w:bottom w:val="none" w:sz="0" w:space="0" w:color="auto"/>
                    <w:right w:val="none" w:sz="0" w:space="0" w:color="auto"/>
                  </w:divBdr>
                  <w:divsChild>
                    <w:div w:id="18746868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eb2.westlaw.com/find/default.wl?mt=Westlaw&amp;db=350&amp;tc=-1&amp;rp=%2ffind%2fdefault.wl&amp;findtype=Y&amp;ordoc=2028584870&amp;serialnum=1983142415&amp;vr=2.0&amp;fn=_top&amp;sv=Split&amp;tf=-1&amp;referencepositiontype=S&amp;pbc=5EBD8341&amp;referenceposition=924&amp;rs=WLW13.01" TargetMode="External"/><Relationship Id="rId13" Type="http://schemas.openxmlformats.org/officeDocument/2006/relationships/hyperlink" Target="http://web2.westlaw.com/find/default.wl?mt=Westlaw&amp;db=350&amp;tc=-1&amp;rp=%2ffind%2fdefault.wl&amp;findtype=Y&amp;ordoc=2028584870&amp;serialnum=1990047144&amp;vr=2.0&amp;fn=_top&amp;sv=Split&amp;tf=-1&amp;referencepositiontype=S&amp;pbc=5EBD8341&amp;referenceposition=1166&amp;rs=WLW13.01" TargetMode="External"/><Relationship Id="rId18" Type="http://schemas.openxmlformats.org/officeDocument/2006/relationships/hyperlink" Target="http://web2.westlaw.com/find/default.wl?mt=Westlaw&amp;db=4493&amp;tc=-1&amp;rp=%2ffind%2fdefault.wl&amp;findtype=Y&amp;ordoc=2029345501&amp;serialnum=2027351031&amp;vr=2.0&amp;fn=_top&amp;sv=Split&amp;tf=-1&amp;referencepositiontype=S&amp;pbc=EBF7B007&amp;referenceposition=3392&amp;rs=WLW13.01" TargetMode="External"/><Relationship Id="rId3" Type="http://schemas.openxmlformats.org/officeDocument/2006/relationships/hyperlink" Target="http://web2.westlaw.com/find/default.wl?mt=Westlaw&amp;db=1077005&amp;docname=UUID(I24BEE1901A-9A11E0A91FB-E055C1C7518)&amp;rp=%2ffind%2fdefault.wl&amp;findtype=l&amp;ordoc=2027351031&amp;tc=-1&amp;vr=2.0&amp;fn=_top&amp;sv=Split&amp;tf=-1&amp;pbc=F9C78176&amp;rs=WLW13.01" TargetMode="External"/><Relationship Id="rId7" Type="http://schemas.openxmlformats.org/officeDocument/2006/relationships/hyperlink" Target="http://web2.westlaw.com/find/default.wl?mt=Westlaw&amp;db=708&amp;tc=-1&amp;rp=%2ffind%2fdefault.wl&amp;findtype=Y&amp;ordoc=2028584870&amp;serialnum=1972202463&amp;vr=2.0&amp;fn=_top&amp;sv=Split&amp;tf=-1&amp;pbc=5EBD8341&amp;rs=WLW13.01" TargetMode="External"/><Relationship Id="rId12" Type="http://schemas.openxmlformats.org/officeDocument/2006/relationships/hyperlink" Target="http://web2.westlaw.com/find/default.wl?mt=Westlaw&amp;db=350&amp;tc=-1&amp;rp=%2ffind%2fdefault.wl&amp;findtype=Y&amp;ordoc=2028584870&amp;serialnum=1969121124&amp;vr=2.0&amp;fn=_top&amp;sv=Split&amp;tf=-1&amp;referencepositiontype=S&amp;pbc=5EBD8341&amp;referenceposition=1159&amp;rs=WLW13.01" TargetMode="External"/><Relationship Id="rId17" Type="http://schemas.openxmlformats.org/officeDocument/2006/relationships/hyperlink" Target="http://web2.westlaw.com/find/default.wl?mt=Westlaw&amp;db=1000547&amp;docname=47CFRS74.1232&amp;rp=%2ffind%2fdefault.wl&amp;findtype=L&amp;ordoc=2029345501&amp;tc=-1&amp;vr=2.0&amp;fn=_top&amp;sv=Split&amp;tf=-1&amp;referencepositiontype=T&amp;pbc=EBF7B007&amp;referenceposition=SP%3ba83b000018c76&amp;rs=WLW13.01" TargetMode="External"/><Relationship Id="rId2" Type="http://schemas.openxmlformats.org/officeDocument/2006/relationships/hyperlink" Target="http://web2.westlaw.com/find/default.wl?mt=Westlaw&amp;db=0004493&amp;tc=-1&amp;rp=%2ffind%2fdefault.wl&amp;findtype=Y&amp;ordoc=2029345501&amp;serialnum=2027351031&amp;vr=2.0&amp;fn=_top&amp;sv=Split&amp;tf=-1&amp;pbc=C1C3E923&amp;rs=WLW13.01" TargetMode="External"/><Relationship Id="rId16" Type="http://schemas.openxmlformats.org/officeDocument/2006/relationships/hyperlink" Target="http://web2.westlaw.com/find/default.wl?mt=Westlaw&amp;db=0004493&amp;tc=-1&amp;rp=%2ffind%2fdefault.wl&amp;findtype=Y&amp;ordoc=2029345501&amp;serialnum=2025661831&amp;vr=2.0&amp;fn=_top&amp;sv=Split&amp;tf=-1&amp;pbc=1E7E5312&amp;rs=WLW13.01" TargetMode="External"/><Relationship Id="rId1" Type="http://schemas.openxmlformats.org/officeDocument/2006/relationships/hyperlink" Target="http://web2.westlaw.com/find/default.wl?mt=Westlaw&amp;db=0004493&amp;tc=-1&amp;rp=%2ffind%2fdefault.wl&amp;findtype=Y&amp;ordoc=2029345501&amp;serialnum=2027351031&amp;vr=2.0&amp;fn=_top&amp;sv=Split&amp;tf=-1&amp;pbc=C1C3E923&amp;rs=WLW13.01" TargetMode="External"/><Relationship Id="rId6" Type="http://schemas.openxmlformats.org/officeDocument/2006/relationships/hyperlink" Target="http://web2.westlaw.com/find/default.wl?mt=Westlaw&amp;db=350&amp;tc=-1&amp;rp=%2ffind%2fdefault.wl&amp;findtype=Y&amp;ordoc=2028584870&amp;serialnum=1972109901&amp;vr=2.0&amp;fn=_top&amp;sv=Split&amp;tf=-1&amp;pbc=5EBD8341&amp;rs=WLW13.01" TargetMode="External"/><Relationship Id="rId11" Type="http://schemas.openxmlformats.org/officeDocument/2006/relationships/hyperlink" Target="http://web2.westlaw.com/find/default.wl?mt=Westlaw&amp;db=350&amp;tc=-1&amp;rp=%2ffind%2fdefault.wl&amp;findtype=Y&amp;ordoc=2028584870&amp;serialnum=1990047144&amp;vr=2.0&amp;fn=_top&amp;sv=Split&amp;tf=-1&amp;referencepositiontype=S&amp;pbc=5EBD8341&amp;referenceposition=1166&amp;rs=WLW13.01" TargetMode="External"/><Relationship Id="rId5" Type="http://schemas.openxmlformats.org/officeDocument/2006/relationships/hyperlink" Target="http://web2.westlaw.com/find/default.wl?mt=Westlaw&amp;db=350&amp;tc=-1&amp;rp=%2ffind%2fdefault.wl&amp;findtype=Y&amp;ordoc=2028584870&amp;serialnum=1969121124&amp;vr=2.0&amp;fn=_top&amp;sv=Split&amp;tf=-1&amp;referencepositiontype=S&amp;pbc=5EBD8341&amp;referenceposition=1157&amp;rs=WLW13.01" TargetMode="External"/><Relationship Id="rId15" Type="http://schemas.openxmlformats.org/officeDocument/2006/relationships/hyperlink" Target="http://web2.westlaw.com/find/default.wl?mt=Westlaw&amp;db=350&amp;tc=-1&amp;rp=%2ffind%2fdefault.wl&amp;findtype=Y&amp;ordoc=2028584870&amp;serialnum=1990047144&amp;vr=2.0&amp;fn=_top&amp;sv=Split&amp;tf=-1&amp;referencepositiontype=S&amp;pbc=5EBD8341&amp;referenceposition=1166&amp;rs=WLW13.01" TargetMode="External"/><Relationship Id="rId10" Type="http://schemas.openxmlformats.org/officeDocument/2006/relationships/hyperlink" Target="http://web2.westlaw.com/find/default.wl?mt=Westlaw&amp;db=0001017&amp;tc=-1&amp;rp=%2ffind%2fdefault.wl&amp;findtype=Y&amp;ordoc=2028584870&amp;serialnum=1974028662&amp;vr=2.0&amp;fn=_top&amp;sv=Split&amp;tf=-1&amp;referencepositiontype=S&amp;pbc=5EBD8341&amp;referenceposition=1012&amp;rs=WLW13.01" TargetMode="External"/><Relationship Id="rId4" Type="http://schemas.openxmlformats.org/officeDocument/2006/relationships/hyperlink" Target="http://web2.westlaw.com/find/default.wl?mt=Westlaw&amp;db=350&amp;tc=-1&amp;rp=%2ffind%2fdefault.wl&amp;findtype=Y&amp;ordoc=2028584870&amp;serialnum=1987135777&amp;vr=2.0&amp;fn=_top&amp;sv=Split&amp;tf=-1&amp;referencepositiontype=S&amp;pbc=5EBD8341&amp;referenceposition=192&amp;rs=WLW13.01" TargetMode="External"/><Relationship Id="rId9" Type="http://schemas.openxmlformats.org/officeDocument/2006/relationships/hyperlink" Target="http://web2.westlaw.com/find/default.wl?mt=Westlaw&amp;db=0004493&amp;tc=-1&amp;rp=%2ffind%2fdefault.wl&amp;findtype=Y&amp;ordoc=2028584870&amp;serialnum=1999289185&amp;vr=2.0&amp;fn=_top&amp;sv=Split&amp;tf=-1&amp;pbc=5EBD8341&amp;rs=WLW13.01" TargetMode="External"/><Relationship Id="rId14" Type="http://schemas.openxmlformats.org/officeDocument/2006/relationships/hyperlink" Target="http://web2.westlaw.com/find/default.wl?mt=Westlaw&amp;db=506&amp;tc=-1&amp;rp=%2ffind%2fdefault.wl&amp;findtype=Y&amp;ordoc=2028584870&amp;serialnum=2017418525&amp;vr=2.0&amp;fn=_top&amp;sv=Split&amp;tf=-1&amp;referencepositiontype=S&amp;pbc=5EBD8341&amp;referenceposition=125&amp;rs=WLW13.01" TargetMode="Externa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Wagner\AppData\Local\Microsoft\Windows\Temporary%20Internet%20Files\Content.Outlook\QIQFBW7N\SeattleFX%20waiver%20request%20(final0422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SeattleFX waiver request (final042213)</Template>
  <TotalTime>0</TotalTime>
  <Pages>3</Pages>
  <Words>1097</Words>
  <Characters>6193</Characters>
  <Application>Microsoft Office Word</Application>
  <DocSecurity>0</DocSecurity>
  <Lines>111</Lines>
  <Paragraphs>29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7511</CharactersWithSpaces>
  <SharedDoc>false</SharedDoc>
  <HyperlinkBase> </HyperlinkBase>
  <HLinks>
    <vt:vector size="120" baseType="variant">
      <vt:variant>
        <vt:i4>7077911</vt:i4>
      </vt:variant>
      <vt:variant>
        <vt:i4>57</vt:i4>
      </vt:variant>
      <vt:variant>
        <vt:i4>0</vt:i4>
      </vt:variant>
      <vt:variant>
        <vt:i4>5</vt:i4>
      </vt:variant>
      <vt:variant>
        <vt:lpwstr>http://web2.westlaw.com/find/default.wl?mt=Westlaw&amp;db=4493&amp;tc=-1&amp;rp=%2ffind%2fdefault.wl&amp;findtype=Y&amp;ordoc=2029345501&amp;serialnum=2027351031&amp;vr=2.0&amp;fn=_top&amp;sv=Split&amp;tf=-1&amp;referencepositiontype=S&amp;pbc=EBF7B007&amp;referenceposition=3392&amp;rs=WLW13.01</vt:lpwstr>
      </vt:variant>
      <vt:variant>
        <vt:lpwstr/>
      </vt:variant>
      <vt:variant>
        <vt:i4>7077898</vt:i4>
      </vt:variant>
      <vt:variant>
        <vt:i4>54</vt:i4>
      </vt:variant>
      <vt:variant>
        <vt:i4>0</vt:i4>
      </vt:variant>
      <vt:variant>
        <vt:i4>5</vt:i4>
      </vt:variant>
      <vt:variant>
        <vt:lpwstr>http://web2.westlaw.com/find/default.wl?mt=Westlaw&amp;db=1000547&amp;docname=47CFRS74.1232&amp;rp=%2ffind%2fdefault.wl&amp;findtype=L&amp;ordoc=2029345501&amp;tc=-1&amp;vr=2.0&amp;fn=_top&amp;sv=Split&amp;tf=-1&amp;referencepositiontype=T&amp;pbc=EBF7B007&amp;referenceposition=SP%3ba83b000018c76&amp;rs=WLW13.01</vt:lpwstr>
      </vt:variant>
      <vt:variant>
        <vt:lpwstr/>
      </vt:variant>
      <vt:variant>
        <vt:i4>4980843</vt:i4>
      </vt:variant>
      <vt:variant>
        <vt:i4>51</vt:i4>
      </vt:variant>
      <vt:variant>
        <vt:i4>0</vt:i4>
      </vt:variant>
      <vt:variant>
        <vt:i4>5</vt:i4>
      </vt:variant>
      <vt:variant>
        <vt:lpwstr>http://web2.westlaw.com/find/default.wl?mt=Westlaw&amp;db=0004493&amp;tc=-1&amp;rp=%2ffind%2fdefault.wl&amp;findtype=Y&amp;ordoc=2029345501&amp;serialnum=2025661831&amp;vr=2.0&amp;fn=_top&amp;sv=Split&amp;tf=-1&amp;pbc=1E7E5312&amp;rs=WLW13.01</vt:lpwstr>
      </vt:variant>
      <vt:variant>
        <vt:lpwstr/>
      </vt:variant>
      <vt:variant>
        <vt:i4>4522083</vt:i4>
      </vt:variant>
      <vt:variant>
        <vt:i4>48</vt:i4>
      </vt:variant>
      <vt:variant>
        <vt:i4>0</vt:i4>
      </vt:variant>
      <vt:variant>
        <vt:i4>5</vt:i4>
      </vt:variant>
      <vt:variant>
        <vt:lpwstr>http://web2.westlaw.com/find/default.wl?mt=Westlaw&amp;db=350&amp;tc=-1&amp;rp=%2ffind%2fdefault.wl&amp;findtype=Y&amp;ordoc=2028584870&amp;serialnum=1990047144&amp;vr=2.0&amp;fn=_top&amp;sv=Split&amp;tf=-1&amp;referencepositiontype=S&amp;pbc=5EBD8341&amp;referenceposition=1166&amp;rs=WLW13.01</vt:lpwstr>
      </vt:variant>
      <vt:variant>
        <vt:lpwstr/>
      </vt:variant>
      <vt:variant>
        <vt:i4>2097164</vt:i4>
      </vt:variant>
      <vt:variant>
        <vt:i4>45</vt:i4>
      </vt:variant>
      <vt:variant>
        <vt:i4>0</vt:i4>
      </vt:variant>
      <vt:variant>
        <vt:i4>5</vt:i4>
      </vt:variant>
      <vt:variant>
        <vt:lpwstr>http://web2.westlaw.com/find/default.wl?mt=Westlaw&amp;db=506&amp;tc=-1&amp;rp=%2ffind%2fdefault.wl&amp;findtype=Y&amp;ordoc=2028584870&amp;serialnum=2017418525&amp;vr=2.0&amp;fn=_top&amp;sv=Split&amp;tf=-1&amp;referencepositiontype=S&amp;pbc=5EBD8341&amp;referenceposition=125&amp;rs=WLW13.01</vt:lpwstr>
      </vt:variant>
      <vt:variant>
        <vt:lpwstr/>
      </vt:variant>
      <vt:variant>
        <vt:i4>4522083</vt:i4>
      </vt:variant>
      <vt:variant>
        <vt:i4>42</vt:i4>
      </vt:variant>
      <vt:variant>
        <vt:i4>0</vt:i4>
      </vt:variant>
      <vt:variant>
        <vt:i4>5</vt:i4>
      </vt:variant>
      <vt:variant>
        <vt:lpwstr>http://web2.westlaw.com/find/default.wl?mt=Westlaw&amp;db=350&amp;tc=-1&amp;rp=%2ffind%2fdefault.wl&amp;findtype=Y&amp;ordoc=2028584870&amp;serialnum=1990047144&amp;vr=2.0&amp;fn=_top&amp;sv=Split&amp;tf=-1&amp;referencepositiontype=S&amp;pbc=5EBD8341&amp;referenceposition=1166&amp;rs=WLW13.01</vt:lpwstr>
      </vt:variant>
      <vt:variant>
        <vt:lpwstr/>
      </vt:variant>
      <vt:variant>
        <vt:i4>4522094</vt:i4>
      </vt:variant>
      <vt:variant>
        <vt:i4>39</vt:i4>
      </vt:variant>
      <vt:variant>
        <vt:i4>0</vt:i4>
      </vt:variant>
      <vt:variant>
        <vt:i4>5</vt:i4>
      </vt:variant>
      <vt:variant>
        <vt:lpwstr>http://web2.westlaw.com/find/default.wl?mt=Westlaw&amp;db=350&amp;tc=-1&amp;rp=%2ffind%2fdefault.wl&amp;findtype=Y&amp;ordoc=2028584870&amp;serialnum=1969121124&amp;vr=2.0&amp;fn=_top&amp;sv=Split&amp;tf=-1&amp;referencepositiontype=S&amp;pbc=5EBD8341&amp;referenceposition=1159&amp;rs=WLW13.01</vt:lpwstr>
      </vt:variant>
      <vt:variant>
        <vt:lpwstr/>
      </vt:variant>
      <vt:variant>
        <vt:i4>4522083</vt:i4>
      </vt:variant>
      <vt:variant>
        <vt:i4>36</vt:i4>
      </vt:variant>
      <vt:variant>
        <vt:i4>0</vt:i4>
      </vt:variant>
      <vt:variant>
        <vt:i4>5</vt:i4>
      </vt:variant>
      <vt:variant>
        <vt:lpwstr>http://web2.westlaw.com/find/default.wl?mt=Westlaw&amp;db=350&amp;tc=-1&amp;rp=%2ffind%2fdefault.wl&amp;findtype=Y&amp;ordoc=2028584870&amp;serialnum=1990047144&amp;vr=2.0&amp;fn=_top&amp;sv=Split&amp;tf=-1&amp;referencepositiontype=S&amp;pbc=5EBD8341&amp;referenceposition=1166&amp;rs=WLW13.01</vt:lpwstr>
      </vt:variant>
      <vt:variant>
        <vt:lpwstr/>
      </vt:variant>
      <vt:variant>
        <vt:i4>4587619</vt:i4>
      </vt:variant>
      <vt:variant>
        <vt:i4>33</vt:i4>
      </vt:variant>
      <vt:variant>
        <vt:i4>0</vt:i4>
      </vt:variant>
      <vt:variant>
        <vt:i4>5</vt:i4>
      </vt:variant>
      <vt:variant>
        <vt:lpwstr>http://web2.westlaw.com/find/default.wl?mt=Westlaw&amp;db=0001017&amp;tc=-1&amp;rp=%2ffind%2fdefault.wl&amp;findtype=Y&amp;ordoc=2028584870&amp;serialnum=1974028662&amp;vr=2.0&amp;fn=_top&amp;sv=Split&amp;tf=-1&amp;referencepositiontype=S&amp;pbc=5EBD8341&amp;referenceposition=1012&amp;rs=WLW13.01</vt:lpwstr>
      </vt:variant>
      <vt:variant>
        <vt:lpwstr/>
      </vt:variant>
      <vt:variant>
        <vt:i4>1245287</vt:i4>
      </vt:variant>
      <vt:variant>
        <vt:i4>30</vt:i4>
      </vt:variant>
      <vt:variant>
        <vt:i4>0</vt:i4>
      </vt:variant>
      <vt:variant>
        <vt:i4>5</vt:i4>
      </vt:variant>
      <vt:variant>
        <vt:lpwstr>http://web2.westlaw.com/find/default.wl?mt=Westlaw&amp;db=0004493&amp;tc=-1&amp;rp=%2ffind%2fdefault.wl&amp;findtype=Y&amp;ordoc=2028584870&amp;serialnum=1999289185&amp;vr=2.0&amp;fn=_top&amp;sv=Split&amp;tf=-1&amp;pbc=5EBD8341&amp;rs=WLW13.01</vt:lpwstr>
      </vt:variant>
      <vt:variant>
        <vt:lpwstr/>
      </vt:variant>
      <vt:variant>
        <vt:i4>2883587</vt:i4>
      </vt:variant>
      <vt:variant>
        <vt:i4>27</vt:i4>
      </vt:variant>
      <vt:variant>
        <vt:i4>0</vt:i4>
      </vt:variant>
      <vt:variant>
        <vt:i4>5</vt:i4>
      </vt:variant>
      <vt:variant>
        <vt:lpwstr>http://web2.westlaw.com/find/default.wl?mt=Westlaw&amp;db=350&amp;tc=-1&amp;rp=%2ffind%2fdefault.wl&amp;findtype=Y&amp;ordoc=2028584870&amp;serialnum=1983142415&amp;vr=2.0&amp;fn=_top&amp;sv=Split&amp;tf=-1&amp;referencepositiontype=S&amp;pbc=5EBD8341&amp;referenceposition=924&amp;rs=WLW13.01</vt:lpwstr>
      </vt:variant>
      <vt:variant>
        <vt:lpwstr/>
      </vt:variant>
      <vt:variant>
        <vt:i4>1966180</vt:i4>
      </vt:variant>
      <vt:variant>
        <vt:i4>24</vt:i4>
      </vt:variant>
      <vt:variant>
        <vt:i4>0</vt:i4>
      </vt:variant>
      <vt:variant>
        <vt:i4>5</vt:i4>
      </vt:variant>
      <vt:variant>
        <vt:lpwstr>http://web2.westlaw.com/find/default.wl?mt=Westlaw&amp;db=708&amp;tc=-1&amp;rp=%2ffind%2fdefault.wl&amp;findtype=Y&amp;ordoc=2028584870&amp;serialnum=1972202463&amp;vr=2.0&amp;fn=_top&amp;sv=Split&amp;tf=-1&amp;pbc=5EBD8341&amp;rs=WLW13.01</vt:lpwstr>
      </vt:variant>
      <vt:variant>
        <vt:lpwstr/>
      </vt:variant>
      <vt:variant>
        <vt:i4>1310822</vt:i4>
      </vt:variant>
      <vt:variant>
        <vt:i4>21</vt:i4>
      </vt:variant>
      <vt:variant>
        <vt:i4>0</vt:i4>
      </vt:variant>
      <vt:variant>
        <vt:i4>5</vt:i4>
      </vt:variant>
      <vt:variant>
        <vt:lpwstr>http://web2.westlaw.com/find/default.wl?mt=Westlaw&amp;db=350&amp;tc=-1&amp;rp=%2ffind%2fdefault.wl&amp;findtype=Y&amp;ordoc=2028584870&amp;serialnum=1972109901&amp;vr=2.0&amp;fn=_top&amp;sv=Split&amp;tf=-1&amp;pbc=5EBD8341&amp;rs=WLW13.01</vt:lpwstr>
      </vt:variant>
      <vt:variant>
        <vt:lpwstr/>
      </vt:variant>
      <vt:variant>
        <vt:i4>4915310</vt:i4>
      </vt:variant>
      <vt:variant>
        <vt:i4>18</vt:i4>
      </vt:variant>
      <vt:variant>
        <vt:i4>0</vt:i4>
      </vt:variant>
      <vt:variant>
        <vt:i4>5</vt:i4>
      </vt:variant>
      <vt:variant>
        <vt:lpwstr>http://web2.westlaw.com/find/default.wl?mt=Westlaw&amp;db=350&amp;tc=-1&amp;rp=%2ffind%2fdefault.wl&amp;findtype=Y&amp;ordoc=2028584870&amp;serialnum=1969121124&amp;vr=2.0&amp;fn=_top&amp;sv=Split&amp;tf=-1&amp;referencepositiontype=S&amp;pbc=5EBD8341&amp;referenceposition=1157&amp;rs=WLW13.01</vt:lpwstr>
      </vt:variant>
      <vt:variant>
        <vt:lpwstr/>
      </vt:variant>
      <vt:variant>
        <vt:i4>2424844</vt:i4>
      </vt:variant>
      <vt:variant>
        <vt:i4>15</vt:i4>
      </vt:variant>
      <vt:variant>
        <vt:i4>0</vt:i4>
      </vt:variant>
      <vt:variant>
        <vt:i4>5</vt:i4>
      </vt:variant>
      <vt:variant>
        <vt:lpwstr>http://web2.westlaw.com/find/default.wl?mt=Westlaw&amp;db=350&amp;tc=-1&amp;rp=%2ffind%2fdefault.wl&amp;findtype=Y&amp;ordoc=2028584870&amp;serialnum=1987135777&amp;vr=2.0&amp;fn=_top&amp;sv=Split&amp;tf=-1&amp;referencepositiontype=S&amp;pbc=5EBD8341&amp;referenceposition=192&amp;rs=WLW13.01</vt:lpwstr>
      </vt:variant>
      <vt:variant>
        <vt:lpwstr/>
      </vt:variant>
      <vt:variant>
        <vt:i4>721018</vt:i4>
      </vt:variant>
      <vt:variant>
        <vt:i4>12</vt:i4>
      </vt:variant>
      <vt:variant>
        <vt:i4>0</vt:i4>
      </vt:variant>
      <vt:variant>
        <vt:i4>5</vt:i4>
      </vt:variant>
      <vt:variant>
        <vt:lpwstr>http://web2.westlaw.com/find/default.wl?mt=Westlaw&amp;db=1077005&amp;docname=UUID(I24BEE1901A-9A11E0A91FB-E055C1C7518)&amp;rp=%2ffind%2fdefault.wl&amp;findtype=l&amp;ordoc=2027351031&amp;tc=-1&amp;vr=2.0&amp;fn=_top&amp;sv=Split&amp;tf=-1&amp;pbc=F9C78176&amp;rs=WLW13.01</vt:lpwstr>
      </vt:variant>
      <vt:variant>
        <vt:lpwstr/>
      </vt:variant>
      <vt:variant>
        <vt:i4>1048679</vt:i4>
      </vt:variant>
      <vt:variant>
        <vt:i4>9</vt:i4>
      </vt:variant>
      <vt:variant>
        <vt:i4>0</vt:i4>
      </vt:variant>
      <vt:variant>
        <vt:i4>5</vt:i4>
      </vt:variant>
      <vt:variant>
        <vt:lpwstr>http://web2.westlaw.com/find/default.wl?mt=Westlaw&amp;db=0004493&amp;tc=-1&amp;rp=%2ffind%2fdefault.wl&amp;findtype=Y&amp;ordoc=2029345501&amp;serialnum=2027351031&amp;vr=2.0&amp;fn=_top&amp;sv=Split&amp;tf=-1&amp;pbc=C1C3E923&amp;rs=WLW13.01</vt:lpwstr>
      </vt:variant>
      <vt:variant>
        <vt:lpwstr/>
      </vt:variant>
      <vt:variant>
        <vt:i4>4718689</vt:i4>
      </vt:variant>
      <vt:variant>
        <vt:i4>6</vt:i4>
      </vt:variant>
      <vt:variant>
        <vt:i4>0</vt:i4>
      </vt:variant>
      <vt:variant>
        <vt:i4>5</vt:i4>
      </vt:variant>
      <vt:variant>
        <vt:lpwstr>http://web2.westlaw.com/find/default.wl?mt=Westlaw&amp;db=0004493&amp;tc=-1&amp;rp=%2ffind%2fdefault.wl&amp;findtype=Y&amp;ordoc=2030146671&amp;serialnum=2003197721&amp;vr=2.0&amp;fn=_top&amp;sv=Split&amp;tf=-1&amp;pbc=33133162&amp;rs=WLW13.01</vt:lpwstr>
      </vt:variant>
      <vt:variant>
        <vt:lpwstr/>
      </vt:variant>
      <vt:variant>
        <vt:i4>4849770</vt:i4>
      </vt:variant>
      <vt:variant>
        <vt:i4>3</vt:i4>
      </vt:variant>
      <vt:variant>
        <vt:i4>0</vt:i4>
      </vt:variant>
      <vt:variant>
        <vt:i4>5</vt:i4>
      </vt:variant>
      <vt:variant>
        <vt:lpwstr>http://web2.westlaw.com/find/default.wl?mt=Westlaw&amp;db=0004493&amp;tc=-1&amp;rp=%2ffind%2fdefault.wl&amp;findtype=Y&amp;ordoc=2030146671&amp;serialnum=2003136688&amp;vr=2.0&amp;fn=_top&amp;sv=Split&amp;tf=-1&amp;pbc=33133162&amp;rs=WLW13.01</vt:lpwstr>
      </vt:variant>
      <vt:variant>
        <vt:lpwstr/>
      </vt:variant>
      <vt:variant>
        <vt:i4>1048679</vt:i4>
      </vt:variant>
      <vt:variant>
        <vt:i4>0</vt:i4>
      </vt:variant>
      <vt:variant>
        <vt:i4>0</vt:i4>
      </vt:variant>
      <vt:variant>
        <vt:i4>5</vt:i4>
      </vt:variant>
      <vt:variant>
        <vt:lpwstr>http://web2.westlaw.com/find/default.wl?mt=Westlaw&amp;db=0004493&amp;tc=-1&amp;rp=%2ffind%2fdefault.wl&amp;findtype=Y&amp;ordoc=2029345501&amp;serialnum=2027351031&amp;vr=2.0&amp;fn=_top&amp;sv=Split&amp;tf=-1&amp;pbc=C1C3E923&amp;rs=WLW13.01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2013-04-22T15:26:00Z</cp:lastPrinted>
  <dcterms:created xsi:type="dcterms:W3CDTF">2013-04-24T12:55:00Z</dcterms:created>
  <dcterms:modified xsi:type="dcterms:W3CDTF">2013-04-24T12:55:00Z</dcterms:modified>
  <cp:category> </cp:category>
  <cp:contentStatus> </cp:contentStatus>
</cp:coreProperties>
</file>