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98" w:rsidRDefault="007A1F98">
      <w:pPr>
        <w:pStyle w:val="Header"/>
        <w:tabs>
          <w:tab w:val="clear" w:pos="4320"/>
          <w:tab w:val="clear" w:pos="8640"/>
        </w:tabs>
        <w:rPr>
          <w:szCs w:val="22"/>
        </w:rPr>
        <w:sectPr w:rsidR="007A1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7A1F98" w:rsidRDefault="007A1F98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DA 1</w:t>
      </w:r>
      <w:r w:rsidR="0025596B">
        <w:rPr>
          <w:b/>
          <w:szCs w:val="22"/>
        </w:rPr>
        <w:t>3</w:t>
      </w:r>
      <w:r>
        <w:rPr>
          <w:b/>
          <w:szCs w:val="22"/>
        </w:rPr>
        <w:t>-</w:t>
      </w:r>
      <w:r w:rsidR="0040225D">
        <w:rPr>
          <w:b/>
          <w:szCs w:val="22"/>
        </w:rPr>
        <w:t>681</w:t>
      </w:r>
    </w:p>
    <w:p w:rsidR="007A1F98" w:rsidRDefault="0025596B">
      <w:pPr>
        <w:jc w:val="right"/>
        <w:rPr>
          <w:b/>
          <w:szCs w:val="22"/>
        </w:rPr>
      </w:pPr>
      <w:r>
        <w:rPr>
          <w:b/>
          <w:szCs w:val="22"/>
        </w:rPr>
        <w:t xml:space="preserve">April </w:t>
      </w:r>
      <w:r w:rsidR="002503A0">
        <w:rPr>
          <w:b/>
          <w:szCs w:val="22"/>
        </w:rPr>
        <w:t>10</w:t>
      </w:r>
      <w:r>
        <w:rPr>
          <w:b/>
          <w:szCs w:val="22"/>
        </w:rPr>
        <w:t>, 2013</w:t>
      </w:r>
      <w:r w:rsidR="007A1F98">
        <w:rPr>
          <w:b/>
          <w:szCs w:val="22"/>
        </w:rPr>
        <w:t xml:space="preserve"> </w:t>
      </w:r>
    </w:p>
    <w:p w:rsidR="007A1F98" w:rsidRDefault="007A1F98">
      <w:pPr>
        <w:jc w:val="right"/>
        <w:rPr>
          <w:szCs w:val="22"/>
        </w:rPr>
      </w:pPr>
      <w:r>
        <w:rPr>
          <w:szCs w:val="22"/>
        </w:rPr>
        <w:t xml:space="preserve"> </w:t>
      </w:r>
    </w:p>
    <w:p w:rsidR="0025596B" w:rsidRDefault="007A1F98" w:rsidP="0025596B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Public safety and homeland security bureau seeks COMMENT ON </w:t>
      </w:r>
    </w:p>
    <w:p w:rsidR="0025596B" w:rsidRDefault="007A1F98" w:rsidP="0025596B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REGION </w:t>
      </w:r>
      <w:r w:rsidR="0025596B">
        <w:rPr>
          <w:b/>
          <w:caps/>
          <w:szCs w:val="22"/>
        </w:rPr>
        <w:t xml:space="preserve">19 </w:t>
      </w:r>
      <w:r>
        <w:rPr>
          <w:b/>
          <w:caps/>
          <w:szCs w:val="22"/>
        </w:rPr>
        <w:t>(</w:t>
      </w:r>
      <w:r w:rsidR="0025596B">
        <w:rPr>
          <w:b/>
          <w:caps/>
          <w:szCs w:val="22"/>
        </w:rPr>
        <w:t>NEW ENGLAND)</w:t>
      </w:r>
      <w:r w:rsidR="009C2547">
        <w:rPr>
          <w:b/>
          <w:caps/>
          <w:szCs w:val="22"/>
        </w:rPr>
        <w:t xml:space="preserve"> 8</w:t>
      </w:r>
      <w:r>
        <w:rPr>
          <w:b/>
          <w:caps/>
          <w:szCs w:val="22"/>
        </w:rPr>
        <w:t xml:space="preserve">00 mhz </w:t>
      </w:r>
      <w:r w:rsidR="00DA4F4A">
        <w:rPr>
          <w:b/>
          <w:caps/>
          <w:szCs w:val="22"/>
        </w:rPr>
        <w:t xml:space="preserve">NPSPAC </w:t>
      </w:r>
      <w:r>
        <w:rPr>
          <w:b/>
          <w:caps/>
          <w:szCs w:val="22"/>
        </w:rPr>
        <w:t>regional plan AMENDMENT</w:t>
      </w:r>
    </w:p>
    <w:p w:rsidR="007A1F98" w:rsidRDefault="007A1F98" w:rsidP="0025596B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 </w:t>
      </w:r>
    </w:p>
    <w:p w:rsidR="007A1F98" w:rsidRDefault="00991A01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General Docket No. 90-53</w:t>
      </w:r>
    </w:p>
    <w:p w:rsidR="007A1F98" w:rsidRDefault="0025596B">
      <w:pPr>
        <w:rPr>
          <w:b/>
          <w:szCs w:val="22"/>
        </w:rPr>
      </w:pPr>
      <w:r>
        <w:rPr>
          <w:b/>
          <w:szCs w:val="22"/>
        </w:rPr>
        <w:tab/>
      </w:r>
      <w:r w:rsidR="00A43A27">
        <w:rPr>
          <w:b/>
          <w:szCs w:val="22"/>
        </w:rPr>
        <w:t>Comments Due:  April</w:t>
      </w:r>
      <w:r w:rsidR="002503A0">
        <w:rPr>
          <w:b/>
          <w:szCs w:val="22"/>
        </w:rPr>
        <w:t xml:space="preserve"> 30</w:t>
      </w:r>
      <w:r>
        <w:rPr>
          <w:b/>
          <w:szCs w:val="22"/>
        </w:rPr>
        <w:t xml:space="preserve">, 2013 </w:t>
      </w:r>
    </w:p>
    <w:p w:rsidR="007A1F98" w:rsidRDefault="007A1F98">
      <w:pPr>
        <w:ind w:firstLine="720"/>
        <w:rPr>
          <w:b/>
          <w:szCs w:val="22"/>
        </w:rPr>
      </w:pPr>
      <w:r>
        <w:rPr>
          <w:b/>
          <w:szCs w:val="22"/>
        </w:rPr>
        <w:t xml:space="preserve">Reply Comments Due:  </w:t>
      </w:r>
      <w:r w:rsidR="0025596B">
        <w:rPr>
          <w:b/>
          <w:szCs w:val="22"/>
        </w:rPr>
        <w:t>May</w:t>
      </w:r>
      <w:r w:rsidR="002503A0">
        <w:rPr>
          <w:b/>
          <w:szCs w:val="22"/>
        </w:rPr>
        <w:t xml:space="preserve"> 10</w:t>
      </w:r>
      <w:r w:rsidR="0025596B">
        <w:rPr>
          <w:b/>
          <w:szCs w:val="22"/>
        </w:rPr>
        <w:t>, 2013</w:t>
      </w:r>
    </w:p>
    <w:p w:rsidR="007A1F98" w:rsidRDefault="007A1F98">
      <w:pPr>
        <w:rPr>
          <w:b/>
          <w:szCs w:val="22"/>
        </w:rPr>
      </w:pPr>
      <w:r>
        <w:rPr>
          <w:b/>
          <w:szCs w:val="22"/>
        </w:rPr>
        <w:tab/>
      </w:r>
    </w:p>
    <w:p w:rsidR="007A1F98" w:rsidRDefault="007A1F98">
      <w:pPr>
        <w:ind w:firstLine="720"/>
      </w:pPr>
      <w:r>
        <w:rPr>
          <w:b/>
          <w:i/>
        </w:rPr>
        <w:t>Introduction.</w:t>
      </w:r>
      <w:r>
        <w:rPr>
          <w:i/>
        </w:rPr>
        <w:t xml:space="preserve">  </w:t>
      </w:r>
      <w:r>
        <w:t xml:space="preserve">On </w:t>
      </w:r>
      <w:r w:rsidR="004E0FDB">
        <w:t xml:space="preserve">March 7, 2013, </w:t>
      </w:r>
      <w:r>
        <w:t xml:space="preserve">the Region </w:t>
      </w:r>
      <w:r w:rsidR="0025596B">
        <w:t>19</w:t>
      </w:r>
      <w:r>
        <w:t xml:space="preserve"> (</w:t>
      </w:r>
      <w:r w:rsidR="0025596B">
        <w:t>New England)</w:t>
      </w:r>
      <w:r>
        <w:rPr>
          <w:rStyle w:val="FootnoteReference"/>
        </w:rPr>
        <w:footnoteReference w:id="1"/>
      </w:r>
      <w:r w:rsidR="00DA4F4A">
        <w:t xml:space="preserve"> 800 MHz NPSPAC</w:t>
      </w:r>
      <w:r>
        <w:t xml:space="preserve"> Regional Planning Committee (RPC) submitted a proposed modification (Plan Amendment) to amend its </w:t>
      </w:r>
      <w:r w:rsidR="00DA4F4A">
        <w:t>8</w:t>
      </w:r>
      <w:r>
        <w:t>00 MHz Public Safety Plan</w:t>
      </w:r>
      <w:r w:rsidR="00DA4F4A">
        <w:t>.</w:t>
      </w:r>
      <w:r>
        <w:rPr>
          <w:rStyle w:val="FootnoteReference"/>
        </w:rPr>
        <w:footnoteReference w:id="2"/>
      </w:r>
      <w:r>
        <w:t xml:space="preserve"> The Plan Amendment pro</w:t>
      </w:r>
      <w:r w:rsidR="00DA4F4A">
        <w:t xml:space="preserve">poses </w:t>
      </w:r>
      <w:r>
        <w:t xml:space="preserve">the following modification:     </w:t>
      </w:r>
    </w:p>
    <w:p w:rsidR="007A1F98" w:rsidRDefault="007A1F98">
      <w:pPr>
        <w:ind w:firstLine="720"/>
      </w:pPr>
    </w:p>
    <w:p w:rsidR="007A1F98" w:rsidRDefault="005622BD" w:rsidP="002D6DA5">
      <w:pPr>
        <w:numPr>
          <w:ilvl w:val="0"/>
          <w:numId w:val="38"/>
        </w:numPr>
        <w:tabs>
          <w:tab w:val="clear" w:pos="1800"/>
        </w:tabs>
        <w:ind w:left="990" w:hanging="270"/>
      </w:pPr>
      <w:r>
        <w:t>To assign</w:t>
      </w:r>
      <w:r w:rsidR="005118B5">
        <w:t xml:space="preserve"> </w:t>
      </w:r>
      <w:r w:rsidR="007A1F98">
        <w:t>the</w:t>
      </w:r>
      <w:r w:rsidR="0025596B">
        <w:t xml:space="preserve"> State of Maine ten 800 MHz channels to provide network coverage to portable radio users through the use of cross band vehicular repeaters.</w:t>
      </w:r>
      <w:r w:rsidR="0025596B">
        <w:rPr>
          <w:rStyle w:val="FootnoteReference"/>
        </w:rPr>
        <w:footnoteReference w:id="3"/>
      </w:r>
      <w:r w:rsidR="0025596B">
        <w:t xml:space="preserve">  </w:t>
      </w:r>
      <w:r w:rsidR="007A1F98">
        <w:t xml:space="preserve">  </w:t>
      </w:r>
    </w:p>
    <w:p w:rsidR="007A1F98" w:rsidRDefault="007A1F98"/>
    <w:p w:rsidR="00704090" w:rsidRDefault="009C2547">
      <w:pPr>
        <w:ind w:firstLine="720"/>
      </w:pPr>
      <w:r>
        <w:t xml:space="preserve">Both </w:t>
      </w:r>
      <w:r w:rsidR="007A1F98">
        <w:t xml:space="preserve">regions adjacent to Region </w:t>
      </w:r>
      <w:r>
        <w:t>19</w:t>
      </w:r>
      <w:r w:rsidR="007A1F98">
        <w:t xml:space="preserve">, Region </w:t>
      </w:r>
      <w:r>
        <w:t>8 (New York Metropolitan Area) and Region 30 (New York-Albany)</w:t>
      </w:r>
      <w:r w:rsidR="007A1F98">
        <w:t xml:space="preserve"> have reviewed and provided letters of concurrence in support of the Plan Amendment.  We have reviewed the Region </w:t>
      </w:r>
      <w:r w:rsidR="00DA4F4A">
        <w:t>19</w:t>
      </w:r>
      <w:r w:rsidR="007A1F98">
        <w:t xml:space="preserve"> Plan Amendment and find it to be compliant with the applicable Commission rules and policies, and tentatively accept the Plan Amendment. </w:t>
      </w:r>
    </w:p>
    <w:p w:rsidR="00704090" w:rsidRDefault="00704090">
      <w:pPr>
        <w:ind w:firstLine="720"/>
      </w:pPr>
    </w:p>
    <w:p w:rsidR="007A1F98" w:rsidRPr="00704090" w:rsidRDefault="00704090">
      <w:pPr>
        <w:ind w:firstLine="720"/>
      </w:pPr>
      <w:r>
        <w:t xml:space="preserve">In accordance with the National Public Safety Plan, each region is responsible for planning its use of the public safety radio frequency spectrum </w:t>
      </w:r>
      <w:r w:rsidR="00415F28">
        <w:t>(</w:t>
      </w:r>
      <w:r w:rsidR="00642144">
        <w:t xml:space="preserve">subsequently, </w:t>
      </w:r>
      <w:r w:rsidR="00415F28">
        <w:t>rebanded to the 806-821/824/851-869 segment).</w:t>
      </w:r>
      <w:r>
        <w:rPr>
          <w:rStyle w:val="FootnoteReference"/>
        </w:rPr>
        <w:footnoteReference w:id="4"/>
      </w:r>
    </w:p>
    <w:p w:rsidR="007A1F98" w:rsidRDefault="007A1F98">
      <w:pPr>
        <w:ind w:firstLine="720"/>
      </w:pPr>
    </w:p>
    <w:p w:rsidR="007A1F98" w:rsidRDefault="009C2547">
      <w:pPr>
        <w:tabs>
          <w:tab w:val="left" w:pos="6030"/>
        </w:tabs>
        <w:autoSpaceDE w:val="0"/>
        <w:autoSpaceDN w:val="0"/>
        <w:adjustRightInd w:val="0"/>
        <w:ind w:firstLine="720"/>
        <w:rPr>
          <w:szCs w:val="22"/>
        </w:rPr>
      </w:pPr>
      <w:r>
        <w:rPr>
          <w:b/>
          <w:i/>
          <w:color w:val="000000"/>
          <w:szCs w:val="22"/>
        </w:rPr>
        <w:t>R</w:t>
      </w:r>
      <w:r w:rsidR="007A1F98">
        <w:rPr>
          <w:b/>
          <w:i/>
          <w:color w:val="000000"/>
          <w:szCs w:val="22"/>
        </w:rPr>
        <w:t xml:space="preserve">equest for Comments on the Region </w:t>
      </w:r>
      <w:r w:rsidR="00747138">
        <w:rPr>
          <w:b/>
          <w:i/>
          <w:color w:val="000000"/>
          <w:szCs w:val="22"/>
        </w:rPr>
        <w:t>19</w:t>
      </w:r>
      <w:r w:rsidR="007A1F98">
        <w:rPr>
          <w:b/>
          <w:i/>
          <w:color w:val="000000"/>
          <w:szCs w:val="22"/>
        </w:rPr>
        <w:t xml:space="preserve"> Plan Amendment. </w:t>
      </w:r>
      <w:r w:rsidR="007A1F98">
        <w:rPr>
          <w:i/>
          <w:color w:val="000000"/>
          <w:szCs w:val="22"/>
        </w:rPr>
        <w:t xml:space="preserve"> </w:t>
      </w:r>
      <w:r w:rsidR="007A1F98">
        <w:rPr>
          <w:color w:val="000000"/>
          <w:szCs w:val="22"/>
        </w:rPr>
        <w:t xml:space="preserve">Prior to taking further action on the Plan Amendment, by this Public Notice we solicit comments on the Region </w:t>
      </w:r>
      <w:r w:rsidR="009F417C">
        <w:rPr>
          <w:color w:val="000000"/>
          <w:szCs w:val="22"/>
        </w:rPr>
        <w:t xml:space="preserve">19 </w:t>
      </w:r>
      <w:r w:rsidR="007A1F98">
        <w:rPr>
          <w:color w:val="000000"/>
          <w:szCs w:val="22"/>
        </w:rPr>
        <w:t xml:space="preserve">Plan Amendment.  Pursuant to Sections 1.415 and 1.419 of the Commission’s rules, 47 C.F.R. §§ 1.415, 1.419, interested parties may file comments on the plan amendment </w:t>
      </w:r>
      <w:r w:rsidR="007A1F98">
        <w:rPr>
          <w:szCs w:val="22"/>
        </w:rPr>
        <w:t>on or before</w:t>
      </w:r>
      <w:r w:rsidR="00747138">
        <w:rPr>
          <w:b/>
          <w:szCs w:val="22"/>
        </w:rPr>
        <w:t xml:space="preserve"> </w:t>
      </w:r>
      <w:r w:rsidR="00492CB9">
        <w:rPr>
          <w:b/>
          <w:szCs w:val="22"/>
        </w:rPr>
        <w:t xml:space="preserve">April </w:t>
      </w:r>
      <w:r w:rsidR="004C10F0">
        <w:rPr>
          <w:b/>
          <w:szCs w:val="22"/>
        </w:rPr>
        <w:t>30</w:t>
      </w:r>
      <w:r w:rsidR="00747138">
        <w:rPr>
          <w:b/>
          <w:szCs w:val="22"/>
        </w:rPr>
        <w:t>, 2013</w:t>
      </w:r>
      <w:r w:rsidR="007A1F98">
        <w:rPr>
          <w:szCs w:val="22"/>
        </w:rPr>
        <w:t>.</w:t>
      </w:r>
      <w:r w:rsidR="007A1F98">
        <w:rPr>
          <w:b/>
          <w:szCs w:val="22"/>
        </w:rPr>
        <w:t xml:space="preserve">  </w:t>
      </w:r>
      <w:r w:rsidR="007A1F98">
        <w:rPr>
          <w:szCs w:val="22"/>
        </w:rPr>
        <w:t xml:space="preserve">Parties interested in submitting reply comments must do so on or before </w:t>
      </w:r>
      <w:r w:rsidR="00747138">
        <w:rPr>
          <w:b/>
          <w:szCs w:val="22"/>
        </w:rPr>
        <w:t xml:space="preserve">May </w:t>
      </w:r>
      <w:r w:rsidR="004C10F0">
        <w:rPr>
          <w:b/>
          <w:szCs w:val="22"/>
        </w:rPr>
        <w:t>10</w:t>
      </w:r>
      <w:r w:rsidR="00747138">
        <w:rPr>
          <w:b/>
          <w:szCs w:val="22"/>
        </w:rPr>
        <w:t xml:space="preserve">, 2013.  </w:t>
      </w:r>
      <w:r w:rsidR="007A1F98">
        <w:rPr>
          <w:b/>
          <w:szCs w:val="22"/>
        </w:rPr>
        <w:t xml:space="preserve"> </w:t>
      </w:r>
      <w:r w:rsidR="007A1F98">
        <w:rPr>
          <w:color w:val="000000"/>
          <w:szCs w:val="22"/>
        </w:rPr>
        <w:t xml:space="preserve">All comments and reply comments should reference the subject plan amendment and </w:t>
      </w:r>
      <w:r w:rsidR="0025760D">
        <w:rPr>
          <w:b/>
          <w:iCs/>
          <w:color w:val="000000"/>
          <w:szCs w:val="22"/>
        </w:rPr>
        <w:t>General</w:t>
      </w:r>
      <w:r w:rsidR="007A1F98">
        <w:rPr>
          <w:b/>
          <w:iCs/>
          <w:color w:val="000000"/>
          <w:szCs w:val="22"/>
        </w:rPr>
        <w:t xml:space="preserve"> Docket No. </w:t>
      </w:r>
      <w:r w:rsidR="0025760D">
        <w:rPr>
          <w:b/>
          <w:iCs/>
          <w:color w:val="000000"/>
          <w:szCs w:val="22"/>
        </w:rPr>
        <w:t>90-53</w:t>
      </w:r>
      <w:r w:rsidR="007A1F98">
        <w:rPr>
          <w:b/>
          <w:color w:val="000000"/>
          <w:szCs w:val="22"/>
        </w:rPr>
        <w:t>.</w:t>
      </w:r>
      <w:r w:rsidR="007A1F98">
        <w:rPr>
          <w:iCs/>
          <w:color w:val="000000"/>
          <w:szCs w:val="22"/>
        </w:rPr>
        <w:t xml:space="preserve">  Parties may file </w:t>
      </w:r>
      <w:r w:rsidR="007A1F98">
        <w:rPr>
          <w:szCs w:val="22"/>
        </w:rPr>
        <w:t xml:space="preserve">comments and reply comments by using (1) the Commission’s Electronic Comment Filing System (ECFS), (2) the Federal Government’s eRulemaking Portal, or (3) by filing paper copies.  </w:t>
      </w:r>
      <w:r w:rsidR="007A1F98">
        <w:rPr>
          <w:i/>
          <w:szCs w:val="22"/>
        </w:rPr>
        <w:t>See</w:t>
      </w:r>
      <w:r w:rsidR="007A1F98">
        <w:rPr>
          <w:szCs w:val="22"/>
        </w:rPr>
        <w:t xml:space="preserve"> Electronic Filing of Documents in Rulemaking Proceedings, 63 FR 24121 (1998).</w:t>
      </w:r>
    </w:p>
    <w:p w:rsidR="007A1F98" w:rsidRDefault="007A1F98">
      <w:pPr>
        <w:ind w:left="1440" w:hanging="720"/>
        <w:rPr>
          <w:szCs w:val="22"/>
        </w:rPr>
      </w:pPr>
    </w:p>
    <w:p w:rsidR="007A1F98" w:rsidRPr="00991A01" w:rsidRDefault="007A1F98" w:rsidP="00991A01">
      <w:pPr>
        <w:pStyle w:val="ListParagraph"/>
        <w:numPr>
          <w:ilvl w:val="0"/>
          <w:numId w:val="41"/>
        </w:numPr>
        <w:rPr>
          <w:szCs w:val="22"/>
        </w:rPr>
      </w:pPr>
      <w:r w:rsidRPr="00991A01">
        <w:rPr>
          <w:rFonts w:cs="Courier New"/>
          <w:szCs w:val="22"/>
          <w:u w:val="single"/>
        </w:rPr>
        <w:t>Electronic Filers</w:t>
      </w:r>
      <w:r w:rsidRPr="00991A01">
        <w:rPr>
          <w:rFonts w:cs="Courier New"/>
          <w:szCs w:val="22"/>
        </w:rPr>
        <w:t>:  Comments and reply comments may be filed electronically using the Internet by accessing the ECFS:  http://www.fcc.gov/cgb/ecfs or the Federal eRulemaking Portal:  http://www.regulations.gov.  Filers should follow the instructions provided on the</w:t>
      </w:r>
      <w:r w:rsidRPr="00991A01">
        <w:rPr>
          <w:szCs w:val="22"/>
        </w:rPr>
        <w:t xml:space="preserve"> website for submitting comments.  </w:t>
      </w:r>
    </w:p>
    <w:p w:rsidR="007A1F98" w:rsidRDefault="007A1F98">
      <w:pPr>
        <w:ind w:left="720"/>
        <w:rPr>
          <w:szCs w:val="22"/>
        </w:rPr>
      </w:pPr>
    </w:p>
    <w:p w:rsidR="007A1F98" w:rsidRPr="00991A01" w:rsidRDefault="007A1F98" w:rsidP="00991A01">
      <w:pPr>
        <w:pStyle w:val="ListParagraph"/>
        <w:numPr>
          <w:ilvl w:val="0"/>
          <w:numId w:val="41"/>
        </w:numPr>
        <w:rPr>
          <w:szCs w:val="22"/>
        </w:rPr>
      </w:pPr>
      <w:r w:rsidRPr="00991A01">
        <w:rPr>
          <w:rFonts w:cs="Courier New"/>
          <w:szCs w:val="22"/>
          <w:u w:val="single"/>
        </w:rPr>
        <w:t>For ECFS Filers</w:t>
      </w:r>
      <w:r w:rsidRPr="00991A01">
        <w:rPr>
          <w:rFonts w:cs="Courier New"/>
          <w:szCs w:val="22"/>
        </w:rPr>
        <w:t>:  I</w:t>
      </w:r>
      <w:r w:rsidRPr="00991A01">
        <w:rPr>
          <w:szCs w:val="22"/>
        </w:rPr>
        <w:t xml:space="preserve">n completing the transmittal screen, filers should include their full name, U.S. Postal Service mailing address, and the rulemaking number.  Parties may also submit an electronic comment by Internet e-mail.  To get filing instructions, filers should send an email to ecfs@fcc.gov and </w:t>
      </w:r>
      <w:r w:rsidRPr="00991A01">
        <w:rPr>
          <w:rFonts w:cs="Courier New"/>
          <w:szCs w:val="22"/>
        </w:rPr>
        <w:t>include</w:t>
      </w:r>
      <w:r w:rsidRPr="00991A01">
        <w:rPr>
          <w:szCs w:val="22"/>
        </w:rPr>
        <w:t xml:space="preserve"> the following words in the body of the message: “get form.”  A sample form and directions will be sent in response.</w:t>
      </w:r>
    </w:p>
    <w:p w:rsidR="007A1F98" w:rsidRDefault="007A1F98">
      <w:pPr>
        <w:rPr>
          <w:rFonts w:cs="Courier New"/>
          <w:szCs w:val="22"/>
          <w:u w:val="single"/>
        </w:rPr>
      </w:pPr>
    </w:p>
    <w:p w:rsidR="007A1F98" w:rsidRPr="00991A01" w:rsidRDefault="007A1F98" w:rsidP="00991A01">
      <w:pPr>
        <w:pStyle w:val="ListParagraph"/>
        <w:numPr>
          <w:ilvl w:val="0"/>
          <w:numId w:val="41"/>
        </w:numPr>
        <w:rPr>
          <w:szCs w:val="22"/>
        </w:rPr>
      </w:pPr>
      <w:r w:rsidRPr="00991A01">
        <w:rPr>
          <w:rFonts w:cs="Courier New"/>
          <w:szCs w:val="22"/>
          <w:u w:val="single"/>
        </w:rPr>
        <w:t>Paper Filers</w:t>
      </w:r>
      <w:r w:rsidRPr="00991A01">
        <w:rPr>
          <w:rFonts w:cs="Courier New"/>
          <w:szCs w:val="22"/>
        </w:rPr>
        <w:t>:  Parties who choose to file by paper must file an original</w:t>
      </w:r>
      <w:r w:rsidRPr="00991A01">
        <w:rPr>
          <w:szCs w:val="22"/>
        </w:rPr>
        <w:t xml:space="preserve"> and four copies of each filing. </w:t>
      </w:r>
    </w:p>
    <w:p w:rsidR="007A1F98" w:rsidRDefault="007A1F98">
      <w:pPr>
        <w:ind w:firstLine="720"/>
        <w:rPr>
          <w:szCs w:val="22"/>
        </w:rPr>
      </w:pPr>
    </w:p>
    <w:p w:rsidR="007A1F98" w:rsidRDefault="007A1F98">
      <w:pPr>
        <w:ind w:firstLine="720"/>
        <w:rPr>
          <w:szCs w:val="22"/>
        </w:rPr>
      </w:pPr>
      <w:r>
        <w:rPr>
          <w:szCs w:val="22"/>
        </w:rPr>
        <w:t>Commenters may send filings by hand or messenger delivery, by commercial overnight courier, or by first-class or overnight U.S. Postal Service mail (although the Commission continues to experience delays in receiving U.S. Postal Service mail).  Commenters must address all filings to:  Secretary, Office of the Secretary, Federal Communications Commission.</w:t>
      </w:r>
    </w:p>
    <w:p w:rsidR="007A1F98" w:rsidRDefault="007A1F98">
      <w:pPr>
        <w:ind w:left="1440" w:hanging="720"/>
        <w:rPr>
          <w:szCs w:val="22"/>
        </w:rPr>
      </w:pPr>
    </w:p>
    <w:p w:rsidR="00991A01" w:rsidRDefault="007A1F98" w:rsidP="00991A01">
      <w:pPr>
        <w:pStyle w:val="ListParagraph"/>
        <w:numPr>
          <w:ilvl w:val="0"/>
          <w:numId w:val="40"/>
        </w:numPr>
        <w:rPr>
          <w:szCs w:val="22"/>
        </w:rPr>
      </w:pPr>
      <w:r w:rsidRPr="00991A01">
        <w:rPr>
          <w:rFonts w:cs="Courier New"/>
          <w:szCs w:val="22"/>
        </w:rPr>
        <w:t>Effective December 28, 2009, commenters must submit all hand-delivered or messenger-delivered paper filings for the Commission’s Secretary to FCC Headquarters at 445 12</w:t>
      </w:r>
      <w:r w:rsidRPr="00991A01">
        <w:rPr>
          <w:rFonts w:cs="Courier New"/>
          <w:szCs w:val="22"/>
          <w:vertAlign w:val="superscript"/>
        </w:rPr>
        <w:t>th</w:t>
      </w:r>
      <w:r w:rsidRPr="00991A01">
        <w:rPr>
          <w:rFonts w:cs="Courier New"/>
          <w:szCs w:val="22"/>
        </w:rPr>
        <w:t xml:space="preserve"> Street, SW, Room TW-A325, Washington, DC 20554.  All hand deliveries must be </w:t>
      </w:r>
      <w:r w:rsidRPr="00991A01">
        <w:rPr>
          <w:szCs w:val="22"/>
        </w:rPr>
        <w:t xml:space="preserve">held together with rubber bands or fasteners.  Any envelopes must be disposed of before entering the building.  </w:t>
      </w:r>
      <w:r w:rsidRPr="00991A01">
        <w:rPr>
          <w:b/>
          <w:szCs w:val="22"/>
        </w:rPr>
        <w:t xml:space="preserve">PLEASE NOTE:  </w:t>
      </w:r>
      <w:r w:rsidRPr="00991A01">
        <w:rPr>
          <w:szCs w:val="22"/>
        </w:rPr>
        <w:t xml:space="preserve">The Commission’s former filing location at 236 Massachusetts Avenue, NE is permanently closed. </w:t>
      </w:r>
    </w:p>
    <w:p w:rsidR="00991A01" w:rsidRDefault="00991A01" w:rsidP="00991A01">
      <w:pPr>
        <w:pStyle w:val="ListParagraph"/>
        <w:rPr>
          <w:szCs w:val="22"/>
        </w:rPr>
      </w:pPr>
    </w:p>
    <w:p w:rsidR="007A1F98" w:rsidRPr="00991A01" w:rsidRDefault="007A1F98" w:rsidP="00991A01">
      <w:pPr>
        <w:pStyle w:val="ListParagraph"/>
        <w:numPr>
          <w:ilvl w:val="0"/>
          <w:numId w:val="40"/>
        </w:numPr>
        <w:rPr>
          <w:szCs w:val="22"/>
        </w:rPr>
      </w:pPr>
      <w:r w:rsidRPr="00991A01">
        <w:rPr>
          <w:rFonts w:cs="Courier New"/>
          <w:szCs w:val="22"/>
        </w:rPr>
        <w:t xml:space="preserve">Commercial </w:t>
      </w:r>
      <w:r w:rsidRPr="00991A01">
        <w:rPr>
          <w:szCs w:val="22"/>
        </w:rPr>
        <w:t>overnight</w:t>
      </w:r>
      <w:r w:rsidRPr="00991A01">
        <w:rPr>
          <w:rFonts w:cs="Courier New"/>
          <w:szCs w:val="22"/>
        </w:rPr>
        <w:t xml:space="preserve"> mail (other than U.S. Postal Service Express </w:t>
      </w:r>
      <w:r w:rsidRPr="00991A01">
        <w:rPr>
          <w:szCs w:val="22"/>
        </w:rPr>
        <w:t>Mail and Priority Mail) must be sent to 9300 East Hampton Drive, Capitol Heights, MD 20743.</w:t>
      </w:r>
    </w:p>
    <w:p w:rsidR="007A1F98" w:rsidRDefault="007A1F98">
      <w:pPr>
        <w:ind w:left="1440" w:hanging="720"/>
        <w:rPr>
          <w:szCs w:val="22"/>
        </w:rPr>
      </w:pPr>
    </w:p>
    <w:p w:rsidR="007A1F98" w:rsidRPr="00991A01" w:rsidRDefault="007A1F98" w:rsidP="00991A01">
      <w:pPr>
        <w:pStyle w:val="ListParagraph"/>
        <w:numPr>
          <w:ilvl w:val="0"/>
          <w:numId w:val="40"/>
        </w:numPr>
        <w:rPr>
          <w:rFonts w:eastAsia="Batang" w:cs="Batang"/>
          <w:szCs w:val="22"/>
        </w:rPr>
      </w:pPr>
      <w:r w:rsidRPr="00991A01">
        <w:rPr>
          <w:rFonts w:cs="Courier New"/>
          <w:szCs w:val="22"/>
        </w:rPr>
        <w:t xml:space="preserve">U.S. Postal </w:t>
      </w:r>
      <w:r w:rsidRPr="00991A01">
        <w:rPr>
          <w:szCs w:val="22"/>
        </w:rPr>
        <w:t>Service</w:t>
      </w:r>
      <w:r w:rsidRPr="00991A01">
        <w:rPr>
          <w:rFonts w:cs="Courier New"/>
          <w:szCs w:val="22"/>
        </w:rPr>
        <w:t xml:space="preserve"> first-class, Express, and Priority mail should be addressed to 445 12th Street, SW, Washington, D.C. 20554.</w:t>
      </w:r>
    </w:p>
    <w:p w:rsidR="007A1F98" w:rsidRDefault="007A1F98">
      <w:pPr>
        <w:rPr>
          <w:rFonts w:eastAsia="Batang" w:cs="Batang"/>
          <w:szCs w:val="22"/>
        </w:rPr>
      </w:pPr>
    </w:p>
    <w:p w:rsidR="007A1F98" w:rsidRPr="00991A01" w:rsidRDefault="007A1F98" w:rsidP="00991A01">
      <w:pPr>
        <w:pStyle w:val="ListParagraph"/>
        <w:numPr>
          <w:ilvl w:val="0"/>
          <w:numId w:val="40"/>
        </w:numPr>
        <w:rPr>
          <w:rFonts w:eastAsia="Batang" w:cs="Batang"/>
          <w:szCs w:val="22"/>
        </w:rPr>
      </w:pPr>
      <w:r w:rsidRPr="00991A01">
        <w:rPr>
          <w:rFonts w:cs="Courier New"/>
          <w:szCs w:val="22"/>
          <w:u w:val="single"/>
        </w:rPr>
        <w:t>People with Disabilities</w:t>
      </w:r>
      <w:r w:rsidRPr="00991A01">
        <w:rPr>
          <w:rFonts w:cs="Courier New"/>
          <w:szCs w:val="22"/>
        </w:rPr>
        <w:t xml:space="preserve">:  To request materials in accessible formats for people with disabilities (Braille, large print, electronic files, audio format), send an email to </w:t>
      </w:r>
      <w:r w:rsidRPr="00991A01">
        <w:rPr>
          <w:rFonts w:cs="Courier New"/>
          <w:szCs w:val="22"/>
          <w:u w:val="single"/>
        </w:rPr>
        <w:t xml:space="preserve">fcc504@fcc.gov </w:t>
      </w:r>
      <w:r w:rsidRPr="00991A01">
        <w:rPr>
          <w:rFonts w:cs="Courier New"/>
          <w:szCs w:val="22"/>
        </w:rPr>
        <w:t>or call the Consumer &amp; Governmental Affairs Bureau at (202) 418-0530 (voice), (202) 418-0432 (tty).</w:t>
      </w:r>
    </w:p>
    <w:p w:rsidR="007A1F98" w:rsidRDefault="007A1F98">
      <w:pPr>
        <w:rPr>
          <w:szCs w:val="22"/>
        </w:rPr>
      </w:pPr>
    </w:p>
    <w:p w:rsidR="007A1F98" w:rsidRDefault="007A1F98">
      <w:pPr>
        <w:ind w:firstLine="720"/>
        <w:rPr>
          <w:szCs w:val="22"/>
        </w:rPr>
      </w:pPr>
      <w:r>
        <w:rPr>
          <w:szCs w:val="22"/>
        </w:rPr>
        <w:t xml:space="preserve">Commenters must address all filings to the Commission’s Secretary, Marlene H. Dortch, Office of the Secretary, Federal Communications Commission, 445 12th Street, SW, Washington, D.C. 20554.  </w:t>
      </w:r>
      <w:r>
        <w:rPr>
          <w:szCs w:val="22"/>
        </w:rPr>
        <w:lastRenderedPageBreak/>
        <w:t xml:space="preserve">Parties must also serve one copy with the Commission’s copy contractor, Best Copy and Printing, Inc. (BCPI), Portals II, 445 12th Street, SW, Room CY-B402, Washington, D.C. 20554, (202) 488-5300, or via email to fcc@bcpiweb.com.  </w:t>
      </w:r>
    </w:p>
    <w:p w:rsidR="007A1F98" w:rsidRDefault="007A1F98">
      <w:pPr>
        <w:rPr>
          <w:szCs w:val="22"/>
        </w:rPr>
      </w:pPr>
    </w:p>
    <w:p w:rsidR="007A1F98" w:rsidRDefault="007A1F98">
      <w:pPr>
        <w:tabs>
          <w:tab w:val="left" w:pos="6030"/>
        </w:tabs>
        <w:autoSpaceDE w:val="0"/>
        <w:autoSpaceDN w:val="0"/>
        <w:adjustRightInd w:val="0"/>
        <w:ind w:firstLine="720"/>
        <w:rPr>
          <w:szCs w:val="22"/>
        </w:rPr>
      </w:pPr>
      <w:r>
        <w:rPr>
          <w:color w:val="000000"/>
          <w:szCs w:val="22"/>
        </w:rPr>
        <w:t xml:space="preserve">The Plan Amendment is available through ECFS at </w:t>
      </w:r>
      <w:r>
        <w:rPr>
          <w:szCs w:val="22"/>
        </w:rPr>
        <w:t xml:space="preserve">ecfs@fcc.gov.  Region </w:t>
      </w:r>
      <w:r w:rsidR="00F53527">
        <w:rPr>
          <w:szCs w:val="22"/>
        </w:rPr>
        <w:t>19</w:t>
      </w:r>
      <w:r>
        <w:rPr>
          <w:szCs w:val="22"/>
        </w:rPr>
        <w:t xml:space="preserve"> Plan documents in </w:t>
      </w:r>
      <w:r w:rsidR="00F53527">
        <w:rPr>
          <w:b/>
          <w:iCs/>
          <w:color w:val="000000"/>
          <w:szCs w:val="22"/>
        </w:rPr>
        <w:t>General Docket No. 90-53</w:t>
      </w:r>
      <w:r>
        <w:rPr>
          <w:b/>
          <w:iCs/>
          <w:color w:val="000000"/>
          <w:szCs w:val="22"/>
        </w:rPr>
        <w:t xml:space="preserve"> </w:t>
      </w:r>
      <w:r>
        <w:rPr>
          <w:szCs w:val="22"/>
        </w:rPr>
        <w:t>are available for public inspection and copying during business hours at the FCC Reference Information Center, Portals II, 445 12th St. SW, Room CY</w:t>
      </w:r>
      <w:r>
        <w:rPr>
          <w:szCs w:val="22"/>
        </w:rPr>
        <w:noBreakHyphen/>
        <w:t>A257, Washington, D.C.</w:t>
      </w:r>
      <w:r>
        <w:rPr>
          <w:b/>
          <w:szCs w:val="22"/>
        </w:rPr>
        <w:t xml:space="preserve"> </w:t>
      </w:r>
      <w:r>
        <w:rPr>
          <w:szCs w:val="22"/>
        </w:rPr>
        <w:t xml:space="preserve">20554.  The documents may also be purchased from BCPI, telephone (202) 488-5300, facsimile (202) 488-5563, TTY (202) 488-5562, email fcc@bcpiweb.com.  </w:t>
      </w:r>
    </w:p>
    <w:p w:rsidR="007A1F98" w:rsidRDefault="007A1F98">
      <w:pPr>
        <w:tabs>
          <w:tab w:val="left" w:pos="6030"/>
        </w:tabs>
        <w:autoSpaceDE w:val="0"/>
        <w:autoSpaceDN w:val="0"/>
        <w:adjustRightInd w:val="0"/>
        <w:ind w:firstLine="720"/>
        <w:rPr>
          <w:iCs/>
          <w:color w:val="000000"/>
          <w:szCs w:val="22"/>
        </w:rPr>
      </w:pPr>
    </w:p>
    <w:p w:rsidR="007A1F98" w:rsidRDefault="007A1F98">
      <w:pPr>
        <w:ind w:firstLine="720"/>
        <w:rPr>
          <w:szCs w:val="22"/>
        </w:rPr>
      </w:pPr>
      <w:r>
        <w:rPr>
          <w:szCs w:val="22"/>
        </w:rPr>
        <w:t>For further information regarding this matter, contact Jeannie Benfaida, Policy and Licensing Division, Public Safety and Homeland Security Bureau at (202) 418-2313 or Jeannie.Benfaida@fcc.gov.</w:t>
      </w:r>
    </w:p>
    <w:p w:rsidR="007A1F98" w:rsidRDefault="007A1F98">
      <w:pPr>
        <w:ind w:firstLine="720"/>
        <w:rPr>
          <w:szCs w:val="22"/>
        </w:rPr>
      </w:pPr>
    </w:p>
    <w:p w:rsidR="007A1F98" w:rsidRDefault="007A1F98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>
        <w:t>- FCC -</w:t>
      </w:r>
    </w:p>
    <w:p w:rsidR="007A1F98" w:rsidRDefault="007A1F98">
      <w:pPr>
        <w:autoSpaceDE w:val="0"/>
        <w:autoSpaceDN w:val="0"/>
        <w:adjustRightInd w:val="0"/>
        <w:jc w:val="center"/>
        <w:rPr>
          <w:color w:val="000000"/>
          <w:szCs w:val="22"/>
        </w:rPr>
      </w:pPr>
    </w:p>
    <w:sectPr w:rsidR="007A1F98">
      <w:type w:val="continuous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05" w:rsidRDefault="00866F05">
      <w:r>
        <w:separator/>
      </w:r>
    </w:p>
  </w:endnote>
  <w:endnote w:type="continuationSeparator" w:id="0">
    <w:p w:rsidR="00866F05" w:rsidRDefault="0086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47" w:rsidRDefault="009C25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2547" w:rsidRDefault="009C2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47" w:rsidRDefault="009C25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25A">
      <w:rPr>
        <w:rStyle w:val="PageNumber"/>
        <w:noProof/>
      </w:rPr>
      <w:t>2</w:t>
    </w:r>
    <w:r>
      <w:rPr>
        <w:rStyle w:val="PageNumber"/>
      </w:rPr>
      <w:fldChar w:fldCharType="end"/>
    </w:r>
  </w:p>
  <w:p w:rsidR="009C2547" w:rsidRDefault="009C25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CA" w:rsidRDefault="00E61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05" w:rsidRDefault="00866F05">
      <w:r>
        <w:separator/>
      </w:r>
    </w:p>
  </w:footnote>
  <w:footnote w:type="continuationSeparator" w:id="0">
    <w:p w:rsidR="00866F05" w:rsidRDefault="00866F05">
      <w:r>
        <w:continuationSeparator/>
      </w:r>
    </w:p>
  </w:footnote>
  <w:footnote w:id="1">
    <w:p w:rsidR="009C2547" w:rsidRDefault="009C2547">
      <w:pPr>
        <w:pStyle w:val="FootnoteText"/>
        <w:spacing w:after="120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 w:rsidR="00B1781D">
        <w:rPr>
          <w:sz w:val="20"/>
        </w:rPr>
        <w:t>The Region 19 (New England) 800 MHz regional planning area encompasses six states:  Connecticut, Maine, Massachusetts, New Hampshire, Rhode Island and Vermont.  The three northernmost states, Maine, New Hampshire and Vermont, share a border with Canada</w:t>
      </w:r>
      <w:r>
        <w:rPr>
          <w:sz w:val="20"/>
        </w:rPr>
        <w:t xml:space="preserve">.  </w:t>
      </w:r>
    </w:p>
  </w:footnote>
  <w:footnote w:id="2">
    <w:p w:rsidR="009C2547" w:rsidRDefault="009C2547">
      <w:pPr>
        <w:widowControl w:val="0"/>
        <w:spacing w:after="120"/>
        <w:ind w:right="-18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Letter from Jer</w:t>
      </w:r>
      <w:r w:rsidR="00B67C8D">
        <w:rPr>
          <w:sz w:val="20"/>
        </w:rPr>
        <w:t>ry Zarwanski, Chair, Region 19 8</w:t>
      </w:r>
      <w:r>
        <w:rPr>
          <w:sz w:val="20"/>
        </w:rPr>
        <w:t xml:space="preserve">00 MHz </w:t>
      </w:r>
      <w:r w:rsidR="002854C5">
        <w:rPr>
          <w:sz w:val="20"/>
        </w:rPr>
        <w:t xml:space="preserve">NPSPAC </w:t>
      </w:r>
      <w:r>
        <w:rPr>
          <w:sz w:val="20"/>
        </w:rPr>
        <w:t>Regional Planning Committee, to Marlene H. Dortch, Secretary, Federal Communica</w:t>
      </w:r>
      <w:r w:rsidR="00B67C8D">
        <w:rPr>
          <w:sz w:val="20"/>
        </w:rPr>
        <w:t xml:space="preserve">tions Commission, General Docket 90-53 </w:t>
      </w:r>
      <w:r>
        <w:rPr>
          <w:sz w:val="20"/>
        </w:rPr>
        <w:t xml:space="preserve">(filed Mar. 7, 2013) (Plan Amendment).       </w:t>
      </w:r>
    </w:p>
  </w:footnote>
  <w:footnote w:id="3">
    <w:p w:rsidR="009C2547" w:rsidRPr="005118B5" w:rsidRDefault="009C2547">
      <w:pPr>
        <w:pStyle w:val="FootnoteText"/>
        <w:rPr>
          <w:sz w:val="20"/>
        </w:rPr>
      </w:pPr>
      <w:r w:rsidRPr="005118B5">
        <w:rPr>
          <w:rStyle w:val="FootnoteReference"/>
          <w:sz w:val="20"/>
        </w:rPr>
        <w:footnoteRef/>
      </w:r>
      <w:r w:rsidRPr="005118B5">
        <w:rPr>
          <w:sz w:val="20"/>
        </w:rPr>
        <w:t xml:space="preserve"> </w:t>
      </w:r>
      <w:r w:rsidR="00242260">
        <w:rPr>
          <w:sz w:val="20"/>
        </w:rPr>
        <w:t xml:space="preserve">The </w:t>
      </w:r>
      <w:r>
        <w:rPr>
          <w:sz w:val="20"/>
        </w:rPr>
        <w:t xml:space="preserve">Window Thirty-Two Channel Allocations </w:t>
      </w:r>
      <w:r w:rsidR="00242260">
        <w:rPr>
          <w:sz w:val="20"/>
        </w:rPr>
        <w:t xml:space="preserve">results assign </w:t>
      </w:r>
      <w:r w:rsidRPr="005118B5">
        <w:rPr>
          <w:b/>
          <w:sz w:val="20"/>
        </w:rPr>
        <w:t>channel numbers</w:t>
      </w:r>
      <w:r>
        <w:rPr>
          <w:sz w:val="20"/>
        </w:rPr>
        <w:t xml:space="preserve">: </w:t>
      </w:r>
      <w:r w:rsidRPr="005118B5">
        <w:rPr>
          <w:b/>
          <w:sz w:val="20"/>
        </w:rPr>
        <w:t>4</w:t>
      </w:r>
      <w:r>
        <w:rPr>
          <w:b/>
          <w:sz w:val="20"/>
        </w:rPr>
        <w:t xml:space="preserve"> </w:t>
      </w:r>
      <w:r>
        <w:rPr>
          <w:sz w:val="20"/>
        </w:rPr>
        <w:t xml:space="preserve">(frequency 851\806.6875), </w:t>
      </w:r>
      <w:r w:rsidRPr="005118B5">
        <w:rPr>
          <w:b/>
          <w:sz w:val="20"/>
        </w:rPr>
        <w:t>67</w:t>
      </w:r>
      <w:r>
        <w:rPr>
          <w:b/>
          <w:sz w:val="20"/>
        </w:rPr>
        <w:t xml:space="preserve"> </w:t>
      </w:r>
      <w:r w:rsidRPr="00D51E5C">
        <w:rPr>
          <w:sz w:val="20"/>
        </w:rPr>
        <w:t>(</w:t>
      </w:r>
      <w:r>
        <w:rPr>
          <w:sz w:val="20"/>
        </w:rPr>
        <w:t xml:space="preserve">851\806.8750), </w:t>
      </w:r>
      <w:r w:rsidRPr="005118B5">
        <w:rPr>
          <w:b/>
          <w:sz w:val="20"/>
        </w:rPr>
        <w:t>84</w:t>
      </w:r>
      <w:r>
        <w:rPr>
          <w:b/>
          <w:sz w:val="20"/>
        </w:rPr>
        <w:t xml:space="preserve"> </w:t>
      </w:r>
      <w:r>
        <w:rPr>
          <w:sz w:val="20"/>
        </w:rPr>
        <w:t xml:space="preserve">(852\807.1125), </w:t>
      </w:r>
      <w:r w:rsidRPr="005118B5">
        <w:rPr>
          <w:b/>
          <w:sz w:val="20"/>
        </w:rPr>
        <w:t>125</w:t>
      </w:r>
      <w:r>
        <w:rPr>
          <w:b/>
          <w:sz w:val="20"/>
        </w:rPr>
        <w:t xml:space="preserve"> </w:t>
      </w:r>
      <w:r>
        <w:rPr>
          <w:sz w:val="20"/>
        </w:rPr>
        <w:t xml:space="preserve">(852\807.6500, </w:t>
      </w:r>
      <w:r w:rsidRPr="005118B5">
        <w:rPr>
          <w:b/>
          <w:sz w:val="20"/>
        </w:rPr>
        <w:t>142</w:t>
      </w:r>
      <w:r>
        <w:rPr>
          <w:b/>
          <w:sz w:val="20"/>
        </w:rPr>
        <w:t xml:space="preserve"> </w:t>
      </w:r>
      <w:r>
        <w:rPr>
          <w:sz w:val="20"/>
        </w:rPr>
        <w:t xml:space="preserve">(852\807.8625), </w:t>
      </w:r>
      <w:r w:rsidRPr="005118B5">
        <w:rPr>
          <w:b/>
          <w:sz w:val="20"/>
        </w:rPr>
        <w:t>150</w:t>
      </w:r>
      <w:r>
        <w:rPr>
          <w:b/>
          <w:sz w:val="20"/>
        </w:rPr>
        <w:t xml:space="preserve"> </w:t>
      </w:r>
      <w:r>
        <w:rPr>
          <w:sz w:val="20"/>
        </w:rPr>
        <w:t xml:space="preserve">(852\807.9625), </w:t>
      </w:r>
      <w:r w:rsidRPr="00D51E5C">
        <w:rPr>
          <w:b/>
          <w:sz w:val="20"/>
        </w:rPr>
        <w:t>159</w:t>
      </w:r>
      <w:r>
        <w:rPr>
          <w:b/>
          <w:sz w:val="20"/>
        </w:rPr>
        <w:t xml:space="preserve"> </w:t>
      </w:r>
      <w:r>
        <w:rPr>
          <w:sz w:val="20"/>
        </w:rPr>
        <w:t xml:space="preserve">(853\808.1000), </w:t>
      </w:r>
      <w:r w:rsidRPr="00D51E5C">
        <w:rPr>
          <w:b/>
          <w:sz w:val="20"/>
        </w:rPr>
        <w:t>167</w:t>
      </w:r>
      <w:r>
        <w:rPr>
          <w:b/>
          <w:sz w:val="20"/>
        </w:rPr>
        <w:t xml:space="preserve"> </w:t>
      </w:r>
      <w:r>
        <w:rPr>
          <w:sz w:val="20"/>
        </w:rPr>
        <w:t xml:space="preserve">(853\808.2000), </w:t>
      </w:r>
      <w:r w:rsidRPr="00D51E5C">
        <w:rPr>
          <w:b/>
          <w:sz w:val="20"/>
        </w:rPr>
        <w:t>181</w:t>
      </w:r>
      <w:r>
        <w:rPr>
          <w:sz w:val="20"/>
        </w:rPr>
        <w:t xml:space="preserve"> (853\808.3750), </w:t>
      </w:r>
      <w:r w:rsidRPr="00D51E5C">
        <w:rPr>
          <w:b/>
          <w:sz w:val="20"/>
        </w:rPr>
        <w:t>223</w:t>
      </w:r>
      <w:r>
        <w:rPr>
          <w:sz w:val="20"/>
        </w:rPr>
        <w:t xml:space="preserve"> (853\808.9000)</w:t>
      </w:r>
      <w:r w:rsidR="00242260">
        <w:rPr>
          <w:sz w:val="20"/>
        </w:rPr>
        <w:t xml:space="preserve"> to the State of Maine for both mobile and portable use</w:t>
      </w:r>
      <w:r>
        <w:rPr>
          <w:sz w:val="20"/>
        </w:rPr>
        <w:t xml:space="preserve">.  </w:t>
      </w:r>
      <w:r w:rsidRPr="005118B5">
        <w:rPr>
          <w:b/>
          <w:sz w:val="20"/>
        </w:rPr>
        <w:t xml:space="preserve"> </w:t>
      </w:r>
    </w:p>
  </w:footnote>
  <w:footnote w:id="4">
    <w:p w:rsidR="00704090" w:rsidRPr="00704090" w:rsidRDefault="00704090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See</w:t>
      </w:r>
      <w:r>
        <w:rPr>
          <w:sz w:val="20"/>
        </w:rPr>
        <w:t xml:space="preserve"> Development and Implementation of a Public Safety National Plan and Amendment of Part 90 to Establish Service Rules and Technical Standards for Use of the 821-824/766-869 MHz Bands by the Public Safety services, </w:t>
      </w:r>
      <w:r>
        <w:rPr>
          <w:i/>
          <w:sz w:val="20"/>
        </w:rPr>
        <w:t xml:space="preserve">Report and Order, </w:t>
      </w:r>
      <w:r>
        <w:rPr>
          <w:sz w:val="20"/>
        </w:rPr>
        <w:t xml:space="preserve">General Docket No. 87-112, 3 FCC Rcd 905 (1987).  </w:t>
      </w:r>
      <w:r w:rsidR="002153A9">
        <w:rPr>
          <w:sz w:val="20"/>
        </w:rPr>
        <w:t xml:space="preserve">The band was modified by the Commission in the </w:t>
      </w:r>
      <w:r w:rsidR="002153A9">
        <w:rPr>
          <w:i/>
          <w:sz w:val="20"/>
        </w:rPr>
        <w:t xml:space="preserve">Rebanding </w:t>
      </w:r>
      <w:r w:rsidR="002153A9">
        <w:rPr>
          <w:sz w:val="20"/>
        </w:rPr>
        <w:t xml:space="preserve">proceeding, WT Docket 02-55, by shifting the NPSPAC band down by 15 megahertz to 806-824/851-869 MHz.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CA" w:rsidRDefault="00E61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CA" w:rsidRDefault="00E61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47" w:rsidRDefault="009C254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547" w:rsidRDefault="009C254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C2547" w:rsidRDefault="009C254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9C2547" w:rsidRDefault="009C254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D.C.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20554</w:t>
                                </w:r>
                              </w:smartTag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9C2547" w:rsidRDefault="009C254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C2547" w:rsidRDefault="009C2547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9C2547" w:rsidRDefault="009C2547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b/>
                            </w:rPr>
                            <w:t>Washington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b/>
                            </w:rPr>
                            <w:t>D.C.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b/>
                            </w:rPr>
                            <w:t>20554</w:t>
                          </w:r>
                        </w:smartTag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kern w:val="28"/>
        <w:sz w:val="96"/>
      </w:rPr>
      <w:t>PUBLIC NOTICE</w:t>
    </w:r>
  </w:p>
  <w:p w:rsidR="009C2547" w:rsidRDefault="009C2547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9525" t="12065" r="9525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D9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H7u4P0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547" w:rsidRDefault="009C254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C2547" w:rsidRDefault="009C254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9C2547" w:rsidRDefault="009C254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9C2547" w:rsidRDefault="009C254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om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A09a&#10;J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9C2547" w:rsidRDefault="009C254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C2547" w:rsidRDefault="009C254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9C2547" w:rsidRDefault="009C254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9C2547" w:rsidRDefault="009C254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8F"/>
    <w:multiLevelType w:val="hybridMultilevel"/>
    <w:tmpl w:val="375069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7F29E9"/>
    <w:multiLevelType w:val="hybridMultilevel"/>
    <w:tmpl w:val="F3049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A8795A"/>
    <w:multiLevelType w:val="hybridMultilevel"/>
    <w:tmpl w:val="84AAE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555D95"/>
    <w:multiLevelType w:val="hybridMultilevel"/>
    <w:tmpl w:val="BB50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D2771"/>
    <w:multiLevelType w:val="hybridMultilevel"/>
    <w:tmpl w:val="9C8664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952B96"/>
    <w:multiLevelType w:val="hybridMultilevel"/>
    <w:tmpl w:val="8B5260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8B1868"/>
    <w:multiLevelType w:val="hybridMultilevel"/>
    <w:tmpl w:val="08AC0B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2A093E"/>
    <w:multiLevelType w:val="hybridMultilevel"/>
    <w:tmpl w:val="605401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B48426B"/>
    <w:multiLevelType w:val="hybridMultilevel"/>
    <w:tmpl w:val="B004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0608D"/>
    <w:multiLevelType w:val="hybridMultilevel"/>
    <w:tmpl w:val="A9B077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094154C"/>
    <w:multiLevelType w:val="hybridMultilevel"/>
    <w:tmpl w:val="4F68AC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412B02"/>
    <w:multiLevelType w:val="hybridMultilevel"/>
    <w:tmpl w:val="712067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CC72B3"/>
    <w:multiLevelType w:val="hybridMultilevel"/>
    <w:tmpl w:val="3410A4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FF2E51"/>
    <w:multiLevelType w:val="hybridMultilevel"/>
    <w:tmpl w:val="28465C6C"/>
    <w:lvl w:ilvl="0" w:tplc="166EC0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5">
    <w:nsid w:val="2C864FF0"/>
    <w:multiLevelType w:val="hybridMultilevel"/>
    <w:tmpl w:val="CA0CA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A528C6"/>
    <w:multiLevelType w:val="hybridMultilevel"/>
    <w:tmpl w:val="BA0CC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E494A50"/>
    <w:multiLevelType w:val="hybridMultilevel"/>
    <w:tmpl w:val="2DE87B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34A23DD"/>
    <w:multiLevelType w:val="hybridMultilevel"/>
    <w:tmpl w:val="AFF86B74"/>
    <w:lvl w:ilvl="0" w:tplc="52A293D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17749"/>
    <w:multiLevelType w:val="hybridMultilevel"/>
    <w:tmpl w:val="19A4EEB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182283C"/>
    <w:multiLevelType w:val="hybridMultilevel"/>
    <w:tmpl w:val="67C0960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1DE70E4"/>
    <w:multiLevelType w:val="hybridMultilevel"/>
    <w:tmpl w:val="6EC62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4">
    <w:nsid w:val="5370266C"/>
    <w:multiLevelType w:val="hybridMultilevel"/>
    <w:tmpl w:val="7AD6C43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26">
    <w:nsid w:val="545D432F"/>
    <w:multiLevelType w:val="hybridMultilevel"/>
    <w:tmpl w:val="57A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9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30">
    <w:nsid w:val="62EC3261"/>
    <w:multiLevelType w:val="hybridMultilevel"/>
    <w:tmpl w:val="82AED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52E92"/>
    <w:multiLevelType w:val="hybridMultilevel"/>
    <w:tmpl w:val="64F6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D43DF"/>
    <w:multiLevelType w:val="hybridMultilevel"/>
    <w:tmpl w:val="29CA6D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FF436F"/>
    <w:multiLevelType w:val="hybridMultilevel"/>
    <w:tmpl w:val="979E0C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CAE7876"/>
    <w:multiLevelType w:val="hybridMultilevel"/>
    <w:tmpl w:val="11B82C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14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23"/>
  </w:num>
  <w:num w:numId="12">
    <w:abstractNumId w:val="17"/>
  </w:num>
  <w:num w:numId="13">
    <w:abstractNumId w:val="19"/>
  </w:num>
  <w:num w:numId="14">
    <w:abstractNumId w:val="1"/>
  </w:num>
  <w:num w:numId="15">
    <w:abstractNumId w:val="15"/>
  </w:num>
  <w:num w:numId="16">
    <w:abstractNumId w:val="33"/>
  </w:num>
  <w:num w:numId="17">
    <w:abstractNumId w:val="2"/>
  </w:num>
  <w:num w:numId="18">
    <w:abstractNumId w:val="29"/>
  </w:num>
  <w:num w:numId="19">
    <w:abstractNumId w:val="34"/>
  </w:num>
  <w:num w:numId="20">
    <w:abstractNumId w:val="10"/>
  </w:num>
  <w:num w:numId="21">
    <w:abstractNumId w:val="6"/>
  </w:num>
  <w:num w:numId="22">
    <w:abstractNumId w:val="12"/>
  </w:num>
  <w:num w:numId="23">
    <w:abstractNumId w:val="5"/>
  </w:num>
  <w:num w:numId="24">
    <w:abstractNumId w:val="4"/>
  </w:num>
  <w:num w:numId="25">
    <w:abstractNumId w:val="11"/>
  </w:num>
  <w:num w:numId="26">
    <w:abstractNumId w:val="21"/>
  </w:num>
  <w:num w:numId="27">
    <w:abstractNumId w:val="16"/>
  </w:num>
  <w:num w:numId="28">
    <w:abstractNumId w:val="32"/>
  </w:num>
  <w:num w:numId="29">
    <w:abstractNumId w:val="13"/>
  </w:num>
  <w:num w:numId="30">
    <w:abstractNumId w:val="30"/>
  </w:num>
  <w:num w:numId="31">
    <w:abstractNumId w:val="22"/>
  </w:num>
  <w:num w:numId="32">
    <w:abstractNumId w:val="18"/>
  </w:num>
  <w:num w:numId="33">
    <w:abstractNumId w:val="8"/>
  </w:num>
  <w:num w:numId="34">
    <w:abstractNumId w:val="3"/>
  </w:num>
  <w:num w:numId="35">
    <w:abstractNumId w:val="20"/>
  </w:num>
  <w:num w:numId="36">
    <w:abstractNumId w:val="9"/>
  </w:num>
  <w:num w:numId="37">
    <w:abstractNumId w:val="7"/>
  </w:num>
  <w:num w:numId="38">
    <w:abstractNumId w:val="24"/>
  </w:num>
  <w:num w:numId="39">
    <w:abstractNumId w:val="0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0"/>
    <w:rsid w:val="000548A2"/>
    <w:rsid w:val="000D725A"/>
    <w:rsid w:val="002153A9"/>
    <w:rsid w:val="00242260"/>
    <w:rsid w:val="002503A0"/>
    <w:rsid w:val="0025596B"/>
    <w:rsid w:val="0025760D"/>
    <w:rsid w:val="002854C5"/>
    <w:rsid w:val="002D6DA5"/>
    <w:rsid w:val="0040225D"/>
    <w:rsid w:val="00414460"/>
    <w:rsid w:val="00415F28"/>
    <w:rsid w:val="00492CB9"/>
    <w:rsid w:val="004C10F0"/>
    <w:rsid w:val="004E0FDB"/>
    <w:rsid w:val="005118B5"/>
    <w:rsid w:val="005622BD"/>
    <w:rsid w:val="0061332D"/>
    <w:rsid w:val="00642144"/>
    <w:rsid w:val="00704090"/>
    <w:rsid w:val="00747138"/>
    <w:rsid w:val="007663B9"/>
    <w:rsid w:val="007A1F98"/>
    <w:rsid w:val="00866F05"/>
    <w:rsid w:val="00991A01"/>
    <w:rsid w:val="009C2547"/>
    <w:rsid w:val="009C4500"/>
    <w:rsid w:val="009F417C"/>
    <w:rsid w:val="00A1001E"/>
    <w:rsid w:val="00A43A27"/>
    <w:rsid w:val="00B1781D"/>
    <w:rsid w:val="00B51BE8"/>
    <w:rsid w:val="00B67C8D"/>
    <w:rsid w:val="00D51E5C"/>
    <w:rsid w:val="00D85B02"/>
    <w:rsid w:val="00DA4F4A"/>
    <w:rsid w:val="00E61ECA"/>
    <w:rsid w:val="00F42286"/>
    <w:rsid w:val="00F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"/>
    <w:basedOn w:val="DefaultParagraphFont"/>
    <w:semiHidden/>
    <w:rPr>
      <w:rFonts w:cs="Times New Roman"/>
      <w:vertAlign w:val="superscript"/>
    </w:rPr>
  </w:style>
  <w:style w:type="paragraph" w:styleId="FootnoteText">
    <w:name w:val="footnote text"/>
    <w:aliases w:val="Footnote Text Char1,Footnote Text Char Char"/>
    <w:basedOn w:val="Normal"/>
    <w:link w:val="FootnoteTextChar"/>
    <w:semiHidden/>
    <w:pPr>
      <w:tabs>
        <w:tab w:val="left" w:pos="720"/>
      </w:tabs>
      <w:spacing w:after="200"/>
    </w:p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locked/>
    <w:rPr>
      <w:rFonts w:cs="Times New Roman"/>
      <w:sz w:val="22"/>
      <w:lang w:val="en-US" w:eastAsia="en-US" w:bidi="ar-SA"/>
    </w:r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pPr>
      <w:widowControl w:val="0"/>
      <w:tabs>
        <w:tab w:val="left" w:pos="-720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ParaNum0">
    <w:name w:val="ParaNum"/>
    <w:basedOn w:val="Normal"/>
    <w:pPr>
      <w:widowControl w:val="0"/>
      <w:numPr>
        <w:numId w:val="18"/>
      </w:numPr>
      <w:tabs>
        <w:tab w:val="num" w:pos="1440"/>
      </w:tabs>
      <w:spacing w:after="120"/>
    </w:pPr>
    <w:rPr>
      <w:kern w:val="28"/>
    </w:rPr>
  </w:style>
  <w:style w:type="character" w:customStyle="1" w:styleId="documentbody">
    <w:name w:val="documentbody"/>
    <w:basedOn w:val="DefaultParagraphFont"/>
    <w:rPr>
      <w:rFonts w:cs="Times New Roman"/>
    </w:rPr>
  </w:style>
  <w:style w:type="paragraph" w:styleId="ListParagraph">
    <w:name w:val="List Paragraph"/>
    <w:basedOn w:val="Normal"/>
    <w:uiPriority w:val="34"/>
    <w:qFormat/>
    <w:rsid w:val="0099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"/>
    <w:basedOn w:val="DefaultParagraphFont"/>
    <w:semiHidden/>
    <w:rPr>
      <w:rFonts w:cs="Times New Roman"/>
      <w:vertAlign w:val="superscript"/>
    </w:rPr>
  </w:style>
  <w:style w:type="paragraph" w:styleId="FootnoteText">
    <w:name w:val="footnote text"/>
    <w:aliases w:val="Footnote Text Char1,Footnote Text Char Char"/>
    <w:basedOn w:val="Normal"/>
    <w:link w:val="FootnoteTextChar"/>
    <w:semiHidden/>
    <w:pPr>
      <w:tabs>
        <w:tab w:val="left" w:pos="720"/>
      </w:tabs>
      <w:spacing w:after="200"/>
    </w:p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locked/>
    <w:rPr>
      <w:rFonts w:cs="Times New Roman"/>
      <w:sz w:val="22"/>
      <w:lang w:val="en-US" w:eastAsia="en-US" w:bidi="ar-SA"/>
    </w:r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pPr>
      <w:widowControl w:val="0"/>
      <w:tabs>
        <w:tab w:val="left" w:pos="-720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ParaNum0">
    <w:name w:val="ParaNum"/>
    <w:basedOn w:val="Normal"/>
    <w:pPr>
      <w:widowControl w:val="0"/>
      <w:numPr>
        <w:numId w:val="18"/>
      </w:numPr>
      <w:tabs>
        <w:tab w:val="num" w:pos="1440"/>
      </w:tabs>
      <w:spacing w:after="120"/>
    </w:pPr>
    <w:rPr>
      <w:kern w:val="28"/>
    </w:rPr>
  </w:style>
  <w:style w:type="character" w:customStyle="1" w:styleId="documentbody">
    <w:name w:val="documentbody"/>
    <w:basedOn w:val="DefaultParagraphFont"/>
    <w:rPr>
      <w:rFonts w:cs="Times New Roman"/>
    </w:rPr>
  </w:style>
  <w:style w:type="paragraph" w:styleId="ListParagraph">
    <w:name w:val="List Paragraph"/>
    <w:basedOn w:val="Normal"/>
    <w:uiPriority w:val="34"/>
    <w:qFormat/>
    <w:rsid w:val="0099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4529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5363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2011-08-22T18:39:00Z</cp:lastPrinted>
  <dcterms:created xsi:type="dcterms:W3CDTF">2013-04-10T18:56:00Z</dcterms:created>
  <dcterms:modified xsi:type="dcterms:W3CDTF">2013-04-10T18:56:00Z</dcterms:modified>
  <cp:category> </cp:category>
  <cp:contentStatus> </cp:contentStatus>
</cp:coreProperties>
</file>