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410" w:rsidRDefault="00122D9D">
      <w:pPr>
        <w:pStyle w:val="Header"/>
        <w:tabs>
          <w:tab w:val="clear" w:pos="4320"/>
          <w:tab w:val="clear" w:pos="8640"/>
        </w:tabs>
        <w:rPr>
          <w:szCs w:val="22"/>
        </w:rPr>
      </w:pPr>
      <w:bookmarkStart w:id="0" w:name="_GoBack"/>
      <w:bookmarkEnd w:id="0"/>
      <w:r>
        <w:rPr>
          <w:szCs w:val="22"/>
        </w:rPr>
        <w:t xml:space="preserve">                                                                                                                                                                                                                                          </w:t>
      </w:r>
      <w:r w:rsidR="00937F58">
        <w:rPr>
          <w:szCs w:val="22"/>
        </w:rPr>
        <w:t xml:space="preserve">                                                                                                                                                                                                                                                                                                                                                                                                                                                                                                                                               </w:t>
      </w:r>
      <w:r w:rsidR="00CA2164">
        <w:rPr>
          <w:szCs w:val="22"/>
        </w:rPr>
        <w:t xml:space="preserve">                                                                                                                                                                                                                                                                                                                                                                                                                                                                                          </w:t>
      </w:r>
    </w:p>
    <w:p w:rsidR="004C6410" w:rsidRPr="00604B08" w:rsidRDefault="004C6410">
      <w:pPr>
        <w:pStyle w:val="Header"/>
        <w:tabs>
          <w:tab w:val="clear" w:pos="4320"/>
          <w:tab w:val="clear" w:pos="8640"/>
        </w:tabs>
        <w:rPr>
          <w:szCs w:val="22"/>
        </w:rPr>
        <w:sectPr w:rsidR="004C6410" w:rsidRPr="00604B08">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p>
    <w:p w:rsidR="00E86027" w:rsidRPr="00604B08" w:rsidRDefault="00F34B2C" w:rsidP="00B446F9">
      <w:pPr>
        <w:jc w:val="right"/>
        <w:rPr>
          <w:b/>
          <w:szCs w:val="22"/>
        </w:rPr>
      </w:pPr>
      <w:r w:rsidRPr="00604B08">
        <w:rPr>
          <w:szCs w:val="22"/>
        </w:rPr>
        <w:lastRenderedPageBreak/>
        <w:tab/>
      </w:r>
      <w:r w:rsidRPr="00604B08">
        <w:rPr>
          <w:szCs w:val="22"/>
        </w:rPr>
        <w:tab/>
      </w:r>
      <w:r w:rsidRPr="00604B08">
        <w:rPr>
          <w:szCs w:val="22"/>
        </w:rPr>
        <w:tab/>
      </w:r>
      <w:r w:rsidRPr="00604B08">
        <w:rPr>
          <w:szCs w:val="22"/>
        </w:rPr>
        <w:tab/>
      </w:r>
      <w:r w:rsidRPr="00604B08">
        <w:rPr>
          <w:szCs w:val="22"/>
        </w:rPr>
        <w:tab/>
      </w:r>
      <w:r w:rsidRPr="00604B08">
        <w:rPr>
          <w:szCs w:val="22"/>
        </w:rPr>
        <w:tab/>
      </w:r>
      <w:r w:rsidRPr="00604B08">
        <w:rPr>
          <w:szCs w:val="22"/>
        </w:rPr>
        <w:tab/>
      </w:r>
      <w:r w:rsidRPr="00604B08">
        <w:rPr>
          <w:szCs w:val="22"/>
        </w:rPr>
        <w:tab/>
      </w:r>
      <w:r w:rsidR="00E86027" w:rsidRPr="00604B08">
        <w:rPr>
          <w:b/>
          <w:szCs w:val="22"/>
        </w:rPr>
        <w:t xml:space="preserve">DA </w:t>
      </w:r>
      <w:r w:rsidR="00662E72" w:rsidRPr="00662E72">
        <w:rPr>
          <w:b/>
          <w:szCs w:val="22"/>
        </w:rPr>
        <w:t>13-454</w:t>
      </w:r>
    </w:p>
    <w:p w:rsidR="004C6410" w:rsidRPr="00B446F9" w:rsidRDefault="009806CC" w:rsidP="00B446F9">
      <w:pPr>
        <w:jc w:val="right"/>
      </w:pPr>
      <w:r>
        <w:rPr>
          <w:b/>
          <w:szCs w:val="22"/>
        </w:rPr>
        <w:t>March</w:t>
      </w:r>
      <w:r w:rsidR="0047435C" w:rsidRPr="00604B08">
        <w:rPr>
          <w:b/>
          <w:szCs w:val="22"/>
        </w:rPr>
        <w:t xml:space="preserve"> </w:t>
      </w:r>
      <w:r w:rsidR="00B5351E">
        <w:rPr>
          <w:b/>
          <w:szCs w:val="22"/>
        </w:rPr>
        <w:t>18</w:t>
      </w:r>
      <w:r w:rsidR="0047435C" w:rsidRPr="00604B08">
        <w:rPr>
          <w:b/>
          <w:szCs w:val="22"/>
        </w:rPr>
        <w:t>, 2013</w:t>
      </w:r>
    </w:p>
    <w:p w:rsidR="004C6410" w:rsidRDefault="004C6410" w:rsidP="00F34B2C">
      <w:pPr>
        <w:rPr>
          <w:szCs w:val="22"/>
        </w:rPr>
      </w:pPr>
    </w:p>
    <w:p w:rsidR="004C6410" w:rsidRPr="00B446F9" w:rsidRDefault="004C6410" w:rsidP="00B446F9"/>
    <w:p w:rsidR="00ED3247" w:rsidRDefault="006375A6" w:rsidP="00B446F9">
      <w:pPr>
        <w:jc w:val="center"/>
        <w:rPr>
          <w:b/>
          <w:sz w:val="28"/>
        </w:rPr>
      </w:pPr>
      <w:r>
        <w:rPr>
          <w:b/>
          <w:sz w:val="28"/>
        </w:rPr>
        <w:t>MEDIA BUREA</w:t>
      </w:r>
      <w:r w:rsidR="00640062">
        <w:rPr>
          <w:b/>
          <w:sz w:val="28"/>
        </w:rPr>
        <w:t>U</w:t>
      </w:r>
      <w:r>
        <w:rPr>
          <w:b/>
          <w:sz w:val="28"/>
        </w:rPr>
        <w:t xml:space="preserve"> </w:t>
      </w:r>
      <w:r w:rsidR="00ED3247">
        <w:rPr>
          <w:b/>
          <w:sz w:val="28"/>
        </w:rPr>
        <w:t>PROVIDE</w:t>
      </w:r>
      <w:r w:rsidR="00A672C7">
        <w:rPr>
          <w:b/>
          <w:sz w:val="28"/>
        </w:rPr>
        <w:t>S</w:t>
      </w:r>
      <w:r w:rsidR="00ED3247">
        <w:rPr>
          <w:b/>
          <w:sz w:val="28"/>
        </w:rPr>
        <w:t xml:space="preserve"> ADDITIONAL GUIDANCE</w:t>
      </w:r>
    </w:p>
    <w:p w:rsidR="00ED3247" w:rsidRDefault="00ED3247" w:rsidP="00B446F9">
      <w:pPr>
        <w:jc w:val="center"/>
        <w:rPr>
          <w:b/>
          <w:sz w:val="28"/>
        </w:rPr>
      </w:pPr>
      <w:r>
        <w:rPr>
          <w:b/>
          <w:sz w:val="28"/>
        </w:rPr>
        <w:t>ON PRECLUSION SHOWING FILING REQUIREMENTS</w:t>
      </w:r>
    </w:p>
    <w:p w:rsidR="006375A6" w:rsidRDefault="00ED3247" w:rsidP="00B446F9">
      <w:pPr>
        <w:jc w:val="center"/>
        <w:rPr>
          <w:b/>
          <w:sz w:val="28"/>
        </w:rPr>
      </w:pPr>
      <w:r>
        <w:rPr>
          <w:b/>
          <w:sz w:val="28"/>
        </w:rPr>
        <w:t>FOR AUCTION 83 FM TRANSLATOR APPLICANTS</w:t>
      </w:r>
      <w:r w:rsidR="006375A6">
        <w:rPr>
          <w:b/>
          <w:sz w:val="28"/>
        </w:rPr>
        <w:t xml:space="preserve"> </w:t>
      </w:r>
    </w:p>
    <w:p w:rsidR="006375A6" w:rsidRDefault="006375A6" w:rsidP="00B446F9">
      <w:pPr>
        <w:jc w:val="center"/>
        <w:rPr>
          <w:b/>
          <w:sz w:val="28"/>
        </w:rPr>
      </w:pPr>
    </w:p>
    <w:p w:rsidR="004C6410" w:rsidRPr="00604B08" w:rsidRDefault="004C6410" w:rsidP="00B446F9">
      <w:pPr>
        <w:jc w:val="center"/>
        <w:rPr>
          <w:szCs w:val="22"/>
        </w:rPr>
      </w:pPr>
    </w:p>
    <w:p w:rsidR="00032333" w:rsidRDefault="004C6410" w:rsidP="00C161C5">
      <w:r>
        <w:tab/>
      </w:r>
      <w:r w:rsidR="00032333">
        <w:t>The Media Bureau (</w:t>
      </w:r>
      <w:r w:rsidR="0049697F">
        <w:t>“</w:t>
      </w:r>
      <w:r w:rsidR="00032333">
        <w:t>Bureau</w:t>
      </w:r>
      <w:r w:rsidR="0049697F">
        <w:t>”</w:t>
      </w:r>
      <w:r w:rsidR="00032333">
        <w:t>) provides further clarification on the preclusion showings (</w:t>
      </w:r>
      <w:r w:rsidR="0049697F">
        <w:t>“</w:t>
      </w:r>
      <w:r w:rsidR="00032333">
        <w:t>Preclusion Showings</w:t>
      </w:r>
      <w:r w:rsidR="0049697F">
        <w:t>”</w:t>
      </w:r>
      <w:r w:rsidR="00032333">
        <w:t>) that must be filed to permit the continue</w:t>
      </w:r>
      <w:r w:rsidR="00A672C7">
        <w:t>d</w:t>
      </w:r>
      <w:r w:rsidR="00032333">
        <w:t xml:space="preserve"> processing of certain Auction 83 FM translator applications.  The Bureau is providing this guidance because it has identified a number of </w:t>
      </w:r>
      <w:r w:rsidR="0049697F">
        <w:t xml:space="preserve">applications and amendments which were filed without </w:t>
      </w:r>
      <w:r w:rsidR="008D0F72">
        <w:t xml:space="preserve">a </w:t>
      </w:r>
      <w:r w:rsidR="0049697F">
        <w:t xml:space="preserve">required </w:t>
      </w:r>
      <w:r w:rsidR="00032333">
        <w:t xml:space="preserve">Preclusion Showing </w:t>
      </w:r>
      <w:r w:rsidR="0049697F">
        <w:t>or filed with</w:t>
      </w:r>
      <w:r w:rsidR="00032333">
        <w:t xml:space="preserve"> defective </w:t>
      </w:r>
      <w:r w:rsidR="0049697F">
        <w:t xml:space="preserve">Preclusion Showings.  Failure to </w:t>
      </w:r>
      <w:r w:rsidR="00FC20CA">
        <w:t xml:space="preserve">file </w:t>
      </w:r>
      <w:r w:rsidR="002F0835">
        <w:t xml:space="preserve">a required Preclusion Showing </w:t>
      </w:r>
      <w:r w:rsidR="00FC20CA">
        <w:t xml:space="preserve">or </w:t>
      </w:r>
      <w:r w:rsidR="002F0835">
        <w:t xml:space="preserve">to </w:t>
      </w:r>
      <w:r w:rsidR="0049697F">
        <w:t xml:space="preserve">correct </w:t>
      </w:r>
      <w:r w:rsidR="000B1BA2">
        <w:t>defects</w:t>
      </w:r>
      <w:r w:rsidR="001D509A">
        <w:t xml:space="preserve"> </w:t>
      </w:r>
      <w:r w:rsidR="00032333">
        <w:t xml:space="preserve">by the relevant filing deadline will result in the dismissal of </w:t>
      </w:r>
      <w:r w:rsidR="00A672C7">
        <w:t>these</w:t>
      </w:r>
      <w:r w:rsidR="00032333">
        <w:t xml:space="preserve"> Form 349 tech box and/or “long form” </w:t>
      </w:r>
      <w:r w:rsidR="00DC5D49">
        <w:t>applications</w:t>
      </w:r>
      <w:r w:rsidR="00032333">
        <w:t>.</w:t>
      </w:r>
    </w:p>
    <w:p w:rsidR="00032333" w:rsidRDefault="00032333" w:rsidP="00C161C5"/>
    <w:p w:rsidR="00D4486E" w:rsidRDefault="00032333" w:rsidP="00C161C5">
      <w:r>
        <w:tab/>
        <w:t>Section 5 of the Local Community Radio Act</w:t>
      </w:r>
      <w:r w:rsidR="004B328E">
        <w:t xml:space="preserve"> of 2010</w:t>
      </w:r>
      <w:r w:rsidR="00FC20CA">
        <w:rPr>
          <w:rStyle w:val="FootnoteReference"/>
        </w:rPr>
        <w:footnoteReference w:id="2"/>
      </w:r>
      <w:r>
        <w:t xml:space="preserve"> requires the Commission to ensure that licenses are available for low power FM (</w:t>
      </w:r>
      <w:r w:rsidR="0049697F">
        <w:t>“</w:t>
      </w:r>
      <w:r>
        <w:t>LPFM</w:t>
      </w:r>
      <w:r w:rsidR="0049697F">
        <w:t>”</w:t>
      </w:r>
      <w:r>
        <w:t xml:space="preserve">) stations.  To implement this provision, the Commission identified </w:t>
      </w:r>
      <w:r w:rsidR="008A407C">
        <w:t xml:space="preserve">remaining </w:t>
      </w:r>
      <w:r>
        <w:t>LPFM licensing opportunities with</w:t>
      </w:r>
      <w:r w:rsidR="00A672C7">
        <w:t>in</w:t>
      </w:r>
      <w:r>
        <w:t xml:space="preserve"> the core areas of 156 markets</w:t>
      </w:r>
      <w:r w:rsidR="004B328E">
        <w:t xml:space="preserve"> </w:t>
      </w:r>
      <w:r w:rsidR="00C01A73">
        <w:t>and</w:t>
      </w:r>
      <w:r w:rsidR="001D509A">
        <w:t xml:space="preserve"> </w:t>
      </w:r>
      <w:r>
        <w:t xml:space="preserve">established a protection scheme for </w:t>
      </w:r>
      <w:r w:rsidR="008A407C">
        <w:t xml:space="preserve">these </w:t>
      </w:r>
      <w:r w:rsidR="00A672C7">
        <w:t xml:space="preserve">identified </w:t>
      </w:r>
      <w:r>
        <w:t xml:space="preserve">“channel/point combinations” </w:t>
      </w:r>
      <w:r w:rsidR="008A407C">
        <w:t>i</w:t>
      </w:r>
      <w:r>
        <w:t>n the defined market grid (</w:t>
      </w:r>
      <w:r w:rsidR="0049697F">
        <w:t>“</w:t>
      </w:r>
      <w:r>
        <w:t>Market Grid</w:t>
      </w:r>
      <w:r w:rsidR="0049697F">
        <w:t>”</w:t>
      </w:r>
      <w:r>
        <w:t>) in each of these markets</w:t>
      </w:r>
      <w:r w:rsidR="00A672C7">
        <w:t>.</w:t>
      </w:r>
      <w:r w:rsidR="00C01A73">
        <w:rPr>
          <w:rStyle w:val="FootnoteReference"/>
        </w:rPr>
        <w:footnoteReference w:id="3"/>
      </w:r>
      <w:r w:rsidR="00A672C7">
        <w:t xml:space="preserve">  These licensing opportunities are</w:t>
      </w:r>
      <w:r>
        <w:t xml:space="preserve"> based </w:t>
      </w:r>
      <w:r w:rsidR="00A672C7">
        <w:t xml:space="preserve">in part </w:t>
      </w:r>
      <w:r>
        <w:t xml:space="preserve">on the classification of </w:t>
      </w:r>
      <w:r w:rsidR="00DC5D49">
        <w:t>a</w:t>
      </w:r>
      <w:r>
        <w:t xml:space="preserve"> market as either “Spectrum Limited” or “Spectrum Available</w:t>
      </w:r>
      <w:r w:rsidR="00A672C7">
        <w:t>.</w:t>
      </w:r>
      <w:r>
        <w:t>”</w:t>
      </w:r>
      <w:r w:rsidR="00C01A73">
        <w:rPr>
          <w:rStyle w:val="FootnoteReference"/>
        </w:rPr>
        <w:footnoteReference w:id="4"/>
      </w:r>
      <w:r>
        <w:t xml:space="preserve"> </w:t>
      </w:r>
      <w:r w:rsidR="00DC5D49">
        <w:t xml:space="preserve"> </w:t>
      </w:r>
      <w:r w:rsidR="00A672C7">
        <w:t>I</w:t>
      </w:r>
      <w:r>
        <w:t>n addition, the Commission established a “plus one channel</w:t>
      </w:r>
      <w:r w:rsidR="00D4486E">
        <w:t xml:space="preserve"> for LPFM licensing” </w:t>
      </w:r>
      <w:r w:rsidR="00550292">
        <w:t xml:space="preserve">requirement </w:t>
      </w:r>
      <w:r w:rsidR="00D4486E">
        <w:t xml:space="preserve">for any out-of-grid </w:t>
      </w:r>
      <w:r w:rsidR="008D0F72">
        <w:t xml:space="preserve">FM </w:t>
      </w:r>
      <w:r w:rsidR="00D4486E">
        <w:t>translator transmitter site location within a Top-50 Spectrum Limited Market.</w:t>
      </w:r>
      <w:r w:rsidR="00C01A73">
        <w:rPr>
          <w:rStyle w:val="FootnoteReference"/>
        </w:rPr>
        <w:footnoteReference w:id="5"/>
      </w:r>
      <w:r w:rsidR="00D4486E">
        <w:t xml:space="preserve">  The Preclusion Showings for these two situations are called the Grid Test and Top-50 Transmitter Site Test, respectively.</w:t>
      </w:r>
    </w:p>
    <w:p w:rsidR="00D4486E" w:rsidRDefault="00D4486E" w:rsidP="00C161C5"/>
    <w:p w:rsidR="00AF731B" w:rsidRDefault="00D4486E" w:rsidP="00C161C5">
      <w:r>
        <w:tab/>
        <w:t xml:space="preserve">Some applicants will be required </w:t>
      </w:r>
      <w:r w:rsidR="0049697F">
        <w:t xml:space="preserve">to </w:t>
      </w:r>
      <w:r>
        <w:t xml:space="preserve">submit Preclusion Showings as amendments to their </w:t>
      </w:r>
      <w:r w:rsidR="008D0F72">
        <w:t xml:space="preserve">pending </w:t>
      </w:r>
      <w:r>
        <w:t>Form 349 tech box proposals and others as part of their “long form” application filings.</w:t>
      </w:r>
      <w:r w:rsidR="00032333">
        <w:t xml:space="preserve"> </w:t>
      </w:r>
      <w:r>
        <w:t xml:space="preserve"> The timing of the filing requirement also will vary based on </w:t>
      </w:r>
      <w:r w:rsidR="00DC5D49">
        <w:t xml:space="preserve">the schedule of translator licensing actions adopted in the </w:t>
      </w:r>
      <w:r w:rsidR="00DC5D49">
        <w:rPr>
          <w:i/>
        </w:rPr>
        <w:lastRenderedPageBreak/>
        <w:t>Fourth Report and Order</w:t>
      </w:r>
      <w:r>
        <w:t>.</w:t>
      </w:r>
      <w:r w:rsidR="00762F72">
        <w:rPr>
          <w:rStyle w:val="FootnoteReference"/>
        </w:rPr>
        <w:footnoteReference w:id="6"/>
      </w:r>
      <w:r>
        <w:t xml:space="preserve">  However, in every instance, an applicant must file a Preclusion Showing when its proposal could </w:t>
      </w:r>
      <w:r w:rsidR="0049697F">
        <w:t xml:space="preserve">potentially </w:t>
      </w:r>
      <w:r>
        <w:t xml:space="preserve">preclude any protected </w:t>
      </w:r>
      <w:r w:rsidR="00F06D5B">
        <w:t xml:space="preserve">LPFM </w:t>
      </w:r>
      <w:r>
        <w:t>channel/point combinations.</w:t>
      </w:r>
      <w:r w:rsidR="00550292">
        <w:t xml:space="preserve">  </w:t>
      </w:r>
      <w:r w:rsidR="00F06D5B">
        <w:t>Under the</w:t>
      </w:r>
      <w:r w:rsidR="00550292">
        <w:t xml:space="preserve"> procedures established for the processing of these translator applications</w:t>
      </w:r>
      <w:r w:rsidR="00F06D5B">
        <w:t xml:space="preserve">, applicants in certain circumstances may </w:t>
      </w:r>
      <w:r w:rsidR="008D0F72">
        <w:t>technically amend the tech box proposal filed during the FM translator Auction 83 filling window</w:t>
      </w:r>
      <w:r w:rsidR="00550292">
        <w:t xml:space="preserve"> (</w:t>
      </w:r>
      <w:r w:rsidR="0049697F">
        <w:t>“</w:t>
      </w:r>
      <w:r w:rsidR="00550292">
        <w:t>Technical Amendments</w:t>
      </w:r>
      <w:r w:rsidR="0049697F">
        <w:t>”</w:t>
      </w:r>
      <w:r w:rsidR="00550292">
        <w:t>)</w:t>
      </w:r>
      <w:r w:rsidR="0049697F">
        <w:t xml:space="preserve">, e.g., changes in power, height, channel, location, </w:t>
      </w:r>
      <w:r w:rsidR="00F06D5B">
        <w:t xml:space="preserve">antenna pattern, </w:t>
      </w:r>
      <w:r w:rsidR="0049697F">
        <w:t>etc.,</w:t>
      </w:r>
      <w:r w:rsidR="00550292">
        <w:t xml:space="preserve"> at designated times.</w:t>
      </w:r>
      <w:r w:rsidR="00762F72">
        <w:rPr>
          <w:rStyle w:val="FootnoteReference"/>
        </w:rPr>
        <w:footnoteReference w:id="7"/>
      </w:r>
      <w:r w:rsidR="00550292">
        <w:t xml:space="preserve">  The filing of a Technical Amendment may trigger the requirement to file a Preclusion Showing.  Accordingly, the </w:t>
      </w:r>
      <w:r w:rsidR="00AF731B">
        <w:t>following examples distinguish between original technical proposals and those with Technical Amendments.</w:t>
      </w:r>
    </w:p>
    <w:p w:rsidR="00AF731B" w:rsidRDefault="00AF731B" w:rsidP="00C161C5"/>
    <w:p w:rsidR="00AF731B" w:rsidRDefault="00AF731B">
      <w:r>
        <w:tab/>
        <w:t xml:space="preserve">A Preclusion Showing is required if </w:t>
      </w:r>
      <w:r w:rsidRPr="005B3AE4">
        <w:rPr>
          <w:i/>
        </w:rPr>
        <w:t>any</w:t>
      </w:r>
      <w:r>
        <w:t xml:space="preserve"> of the categories labeled “</w:t>
      </w:r>
      <w:r w:rsidRPr="00DC5D49">
        <w:rPr>
          <w:b/>
        </w:rPr>
        <w:t>Required</w:t>
      </w:r>
      <w:r>
        <w:t xml:space="preserve">” applies to a </w:t>
      </w:r>
      <w:r w:rsidR="00B54720">
        <w:t xml:space="preserve">FM </w:t>
      </w:r>
      <w:r>
        <w:t>translator proposal</w:t>
      </w:r>
      <w:r w:rsidR="005B3AE4">
        <w:t xml:space="preserve"> with regard to </w:t>
      </w:r>
      <w:r w:rsidR="005B3AE4" w:rsidRPr="005B3AE4">
        <w:rPr>
          <w:i/>
        </w:rPr>
        <w:t xml:space="preserve">any </w:t>
      </w:r>
      <w:r w:rsidR="005B3AE4">
        <w:t xml:space="preserve">Market Grid or </w:t>
      </w:r>
      <w:r w:rsidR="005B3AE4" w:rsidRPr="005B3AE4">
        <w:rPr>
          <w:i/>
        </w:rPr>
        <w:t xml:space="preserve">any </w:t>
      </w:r>
      <w:r w:rsidR="005B3AE4">
        <w:t>Top-50 Spectrum Limited market</w:t>
      </w:r>
      <w:r>
        <w:t xml:space="preserve">.  </w:t>
      </w:r>
      <w:r w:rsidR="00DC5D49">
        <w:t>Distance calculations are based on proposed</w:t>
      </w:r>
      <w:r w:rsidR="00B54720">
        <w:t xml:space="preserve"> FM</w:t>
      </w:r>
      <w:r w:rsidR="00DC5D49">
        <w:t xml:space="preserve"> translator transmitter sites. </w:t>
      </w:r>
    </w:p>
    <w:p w:rsidR="001D509A" w:rsidRDefault="001D509A"/>
    <w:p w:rsidR="00AF731B" w:rsidRPr="00AF731B" w:rsidRDefault="00AF731B" w:rsidP="00AF731B">
      <w:r>
        <w:tab/>
      </w:r>
      <w:r w:rsidRPr="00AF731B">
        <w:t>If an applicant is prosecuting an original proposal:</w:t>
      </w:r>
    </w:p>
    <w:p w:rsidR="00AF731B" w:rsidRPr="00AF731B" w:rsidRDefault="00AF731B" w:rsidP="00AF731B"/>
    <w:p w:rsidR="00362C04" w:rsidRPr="00AF731B" w:rsidRDefault="00AF731B" w:rsidP="00AF731B">
      <w:pPr>
        <w:pStyle w:val="ListParagraph"/>
        <w:numPr>
          <w:ilvl w:val="0"/>
          <w:numId w:val="18"/>
        </w:numPr>
        <w:rPr>
          <w:rFonts w:ascii="Times New Roman" w:hAnsi="Times New Roman" w:cs="Times New Roman"/>
        </w:rPr>
      </w:pPr>
      <w:r w:rsidRPr="00AF731B">
        <w:rPr>
          <w:rFonts w:ascii="Times New Roman" w:hAnsi="Times New Roman" w:cs="Times New Roman"/>
        </w:rPr>
        <w:t xml:space="preserve">The proposal is within 39 km of a Spectrum Limited Market Grid – </w:t>
      </w:r>
      <w:r w:rsidRPr="006325D2">
        <w:rPr>
          <w:rFonts w:ascii="Times New Roman" w:hAnsi="Times New Roman" w:cs="Times New Roman"/>
          <w:b/>
        </w:rPr>
        <w:t>Required</w:t>
      </w:r>
      <w:r w:rsidR="00734592" w:rsidRPr="006325D2">
        <w:rPr>
          <w:rFonts w:ascii="Times New Roman" w:hAnsi="Times New Roman" w:cs="Times New Roman"/>
          <w:b/>
        </w:rPr>
        <w:t xml:space="preserve">.  </w:t>
      </w:r>
      <w:r w:rsidR="00734592">
        <w:rPr>
          <w:rFonts w:ascii="Times New Roman" w:hAnsi="Times New Roman" w:cs="Times New Roman"/>
        </w:rPr>
        <w:t xml:space="preserve">This proposal could preclude a protected channel/point combination.  The filing requirement applies to both proposals located within and outside the </w:t>
      </w:r>
      <w:r w:rsidR="005B3AE4">
        <w:rPr>
          <w:rFonts w:ascii="Times New Roman" w:hAnsi="Times New Roman" w:cs="Times New Roman"/>
        </w:rPr>
        <w:t>S</w:t>
      </w:r>
      <w:r w:rsidR="00734592">
        <w:rPr>
          <w:rFonts w:ascii="Times New Roman" w:hAnsi="Times New Roman" w:cs="Times New Roman"/>
        </w:rPr>
        <w:t xml:space="preserve">pectrum </w:t>
      </w:r>
      <w:r w:rsidR="005B3AE4">
        <w:rPr>
          <w:rFonts w:ascii="Times New Roman" w:hAnsi="Times New Roman" w:cs="Times New Roman"/>
        </w:rPr>
        <w:t>L</w:t>
      </w:r>
      <w:r w:rsidR="00734592">
        <w:rPr>
          <w:rFonts w:ascii="Times New Roman" w:hAnsi="Times New Roman" w:cs="Times New Roman"/>
        </w:rPr>
        <w:t>imited market.</w:t>
      </w:r>
    </w:p>
    <w:p w:rsidR="00AF731B" w:rsidRDefault="00AF731B" w:rsidP="00AF731B">
      <w:pPr>
        <w:pStyle w:val="ListParagraph"/>
        <w:numPr>
          <w:ilvl w:val="0"/>
          <w:numId w:val="18"/>
        </w:numPr>
        <w:rPr>
          <w:rFonts w:ascii="Times New Roman" w:hAnsi="Times New Roman" w:cs="Times New Roman"/>
        </w:rPr>
      </w:pPr>
      <w:r>
        <w:rPr>
          <w:rFonts w:ascii="Times New Roman" w:hAnsi="Times New Roman" w:cs="Times New Roman"/>
        </w:rPr>
        <w:t xml:space="preserve">The proposal is within 39 km of </w:t>
      </w:r>
      <w:r w:rsidR="00734592">
        <w:rPr>
          <w:rFonts w:ascii="Times New Roman" w:hAnsi="Times New Roman" w:cs="Times New Roman"/>
        </w:rPr>
        <w:t xml:space="preserve">a Spectrum Available Market Grid – </w:t>
      </w:r>
      <w:r w:rsidR="00734592" w:rsidRPr="006325D2">
        <w:rPr>
          <w:rFonts w:ascii="Times New Roman" w:hAnsi="Times New Roman" w:cs="Times New Roman"/>
          <w:b/>
        </w:rPr>
        <w:t>Not Required.</w:t>
      </w:r>
      <w:r w:rsidR="00734592">
        <w:rPr>
          <w:rFonts w:ascii="Times New Roman" w:hAnsi="Times New Roman" w:cs="Times New Roman"/>
        </w:rPr>
        <w:t xml:space="preserve">  This proposal could not preclude a protected channel/point combination because </w:t>
      </w:r>
      <w:r w:rsidR="006325D2">
        <w:rPr>
          <w:rFonts w:ascii="Times New Roman" w:hAnsi="Times New Roman" w:cs="Times New Roman"/>
        </w:rPr>
        <w:t xml:space="preserve">all protected channel/point combinations in Spectrum Available markets assume the grant of all translator proposals.  </w:t>
      </w:r>
    </w:p>
    <w:p w:rsidR="00734592" w:rsidRPr="00734592" w:rsidRDefault="00734592" w:rsidP="00AF731B">
      <w:pPr>
        <w:pStyle w:val="ListParagraph"/>
        <w:numPr>
          <w:ilvl w:val="0"/>
          <w:numId w:val="18"/>
        </w:numPr>
        <w:rPr>
          <w:rFonts w:ascii="Times New Roman" w:hAnsi="Times New Roman" w:cs="Times New Roman"/>
        </w:rPr>
      </w:pPr>
      <w:r>
        <w:rPr>
          <w:rFonts w:ascii="Times New Roman" w:hAnsi="Times New Roman" w:cs="Times New Roman"/>
        </w:rPr>
        <w:t xml:space="preserve">The proposal specifies an out-of-grid location within a Top-50 Spectrum Limited </w:t>
      </w:r>
      <w:r w:rsidR="006325D2">
        <w:rPr>
          <w:rFonts w:ascii="Times New Roman" w:hAnsi="Times New Roman" w:cs="Times New Roman"/>
        </w:rPr>
        <w:t>Market</w:t>
      </w:r>
      <w:r>
        <w:rPr>
          <w:rFonts w:ascii="Times New Roman" w:hAnsi="Times New Roman" w:cs="Times New Roman"/>
        </w:rPr>
        <w:t xml:space="preserve"> – </w:t>
      </w:r>
      <w:r w:rsidRPr="006325D2">
        <w:rPr>
          <w:rFonts w:ascii="Times New Roman" w:hAnsi="Times New Roman" w:cs="Times New Roman"/>
          <w:b/>
        </w:rPr>
        <w:t>Required.</w:t>
      </w:r>
      <w:r>
        <w:rPr>
          <w:rFonts w:ascii="Times New Roman" w:hAnsi="Times New Roman" w:cs="Times New Roman"/>
        </w:rPr>
        <w:t xml:space="preserve">  The proposal could preclude the only channel/point combination at the </w:t>
      </w:r>
      <w:r w:rsidR="00A672C7">
        <w:rPr>
          <w:rFonts w:ascii="Times New Roman" w:hAnsi="Times New Roman" w:cs="Times New Roman"/>
        </w:rPr>
        <w:t xml:space="preserve">specified </w:t>
      </w:r>
      <w:r>
        <w:rPr>
          <w:rFonts w:ascii="Times New Roman" w:hAnsi="Times New Roman" w:cs="Times New Roman"/>
        </w:rPr>
        <w:t xml:space="preserve">transmitter </w:t>
      </w:r>
      <w:r w:rsidRPr="00734592">
        <w:rPr>
          <w:rFonts w:ascii="Times New Roman" w:hAnsi="Times New Roman" w:cs="Times New Roman"/>
        </w:rPr>
        <w:t>site location.</w:t>
      </w:r>
    </w:p>
    <w:p w:rsidR="00734592" w:rsidRPr="00734592" w:rsidRDefault="00734592" w:rsidP="00734592">
      <w:r w:rsidRPr="00734592">
        <w:tab/>
        <w:t xml:space="preserve">If an applicant has </w:t>
      </w:r>
      <w:r w:rsidR="00FC20CA">
        <w:t xml:space="preserve">filed </w:t>
      </w:r>
      <w:r w:rsidRPr="00734592">
        <w:t>a Technical Amendment:</w:t>
      </w:r>
    </w:p>
    <w:p w:rsidR="00734592" w:rsidRPr="00734592" w:rsidRDefault="00734592" w:rsidP="00734592"/>
    <w:p w:rsidR="00734592" w:rsidRPr="006325D2" w:rsidRDefault="00734592" w:rsidP="00734592">
      <w:pPr>
        <w:pStyle w:val="ListParagraph"/>
        <w:numPr>
          <w:ilvl w:val="0"/>
          <w:numId w:val="18"/>
        </w:numPr>
        <w:rPr>
          <w:rFonts w:ascii="Times New Roman" w:hAnsi="Times New Roman" w:cs="Times New Roman"/>
          <w:b/>
        </w:rPr>
      </w:pPr>
      <w:r w:rsidRPr="00734592">
        <w:rPr>
          <w:rFonts w:ascii="Times New Roman" w:hAnsi="Times New Roman" w:cs="Times New Roman"/>
        </w:rPr>
        <w:t xml:space="preserve">The </w:t>
      </w:r>
      <w:r>
        <w:rPr>
          <w:rFonts w:ascii="Times New Roman" w:hAnsi="Times New Roman" w:cs="Times New Roman"/>
        </w:rPr>
        <w:t xml:space="preserve">proposal is within 39 km of a Spectrum Limited Market Grid – </w:t>
      </w:r>
      <w:r w:rsidRPr="006325D2">
        <w:rPr>
          <w:rFonts w:ascii="Times New Roman" w:hAnsi="Times New Roman" w:cs="Times New Roman"/>
          <w:b/>
        </w:rPr>
        <w:t xml:space="preserve">Required. </w:t>
      </w:r>
    </w:p>
    <w:p w:rsidR="00734592" w:rsidRDefault="00734592" w:rsidP="00734592">
      <w:pPr>
        <w:pStyle w:val="ListParagraph"/>
        <w:numPr>
          <w:ilvl w:val="0"/>
          <w:numId w:val="18"/>
        </w:numPr>
        <w:rPr>
          <w:rFonts w:ascii="Times New Roman" w:hAnsi="Times New Roman" w:cs="Times New Roman"/>
        </w:rPr>
      </w:pPr>
      <w:r>
        <w:rPr>
          <w:rFonts w:ascii="Times New Roman" w:hAnsi="Times New Roman" w:cs="Times New Roman"/>
        </w:rPr>
        <w:t xml:space="preserve">The proposal is within 39 km of a Spectrum Available Market Grid – </w:t>
      </w:r>
      <w:r w:rsidRPr="006325D2">
        <w:rPr>
          <w:rFonts w:ascii="Times New Roman" w:hAnsi="Times New Roman" w:cs="Times New Roman"/>
          <w:b/>
        </w:rPr>
        <w:t>Required.</w:t>
      </w:r>
      <w:r>
        <w:rPr>
          <w:rFonts w:ascii="Times New Roman" w:hAnsi="Times New Roman" w:cs="Times New Roman"/>
        </w:rPr>
        <w:t xml:space="preserve">  This proposal could preclude a protecte</w:t>
      </w:r>
      <w:r w:rsidR="006325D2">
        <w:rPr>
          <w:rFonts w:ascii="Times New Roman" w:hAnsi="Times New Roman" w:cs="Times New Roman"/>
        </w:rPr>
        <w:t xml:space="preserve">d channel/point combination because protected channel/point combinations </w:t>
      </w:r>
      <w:r w:rsidR="005B3AE4">
        <w:rPr>
          <w:rFonts w:ascii="Times New Roman" w:hAnsi="Times New Roman" w:cs="Times New Roman"/>
        </w:rPr>
        <w:t xml:space="preserve">in the Spectrum Available market </w:t>
      </w:r>
      <w:r w:rsidR="006325D2">
        <w:rPr>
          <w:rFonts w:ascii="Times New Roman" w:hAnsi="Times New Roman" w:cs="Times New Roman"/>
        </w:rPr>
        <w:t xml:space="preserve">did not </w:t>
      </w:r>
      <w:r w:rsidR="005B3AE4">
        <w:rPr>
          <w:rFonts w:ascii="Times New Roman" w:hAnsi="Times New Roman" w:cs="Times New Roman"/>
        </w:rPr>
        <w:t xml:space="preserve">take into account </w:t>
      </w:r>
      <w:r w:rsidR="006325D2">
        <w:rPr>
          <w:rFonts w:ascii="Times New Roman" w:hAnsi="Times New Roman" w:cs="Times New Roman"/>
        </w:rPr>
        <w:t>the grant of this amended proposal.</w:t>
      </w:r>
      <w:r w:rsidR="00762F72">
        <w:rPr>
          <w:rStyle w:val="FootnoteReference"/>
          <w:rFonts w:ascii="Times New Roman" w:hAnsi="Times New Roman" w:cs="Times New Roman"/>
        </w:rPr>
        <w:footnoteReference w:id="8"/>
      </w:r>
    </w:p>
    <w:p w:rsidR="006325D2" w:rsidRDefault="006325D2" w:rsidP="00734592">
      <w:pPr>
        <w:pStyle w:val="ListParagraph"/>
        <w:numPr>
          <w:ilvl w:val="0"/>
          <w:numId w:val="18"/>
        </w:numPr>
        <w:rPr>
          <w:rFonts w:ascii="Times New Roman" w:hAnsi="Times New Roman" w:cs="Times New Roman"/>
        </w:rPr>
      </w:pPr>
      <w:r>
        <w:rPr>
          <w:rFonts w:ascii="Times New Roman" w:hAnsi="Times New Roman" w:cs="Times New Roman"/>
        </w:rPr>
        <w:t xml:space="preserve">The proposal specifies an out-of-grid location within a Top-50 Spectrum Limited Market – </w:t>
      </w:r>
      <w:r w:rsidRPr="00B84E95">
        <w:rPr>
          <w:rFonts w:ascii="Times New Roman" w:hAnsi="Times New Roman" w:cs="Times New Roman"/>
          <w:b/>
        </w:rPr>
        <w:t>Required.</w:t>
      </w:r>
      <w:r>
        <w:rPr>
          <w:rFonts w:ascii="Times New Roman" w:hAnsi="Times New Roman" w:cs="Times New Roman"/>
        </w:rPr>
        <w:t xml:space="preserve"> </w:t>
      </w:r>
    </w:p>
    <w:p w:rsidR="006325D2" w:rsidRDefault="006325D2" w:rsidP="006325D2">
      <w:r>
        <w:lastRenderedPageBreak/>
        <w:tab/>
        <w:t xml:space="preserve">Applicants with upcoming filing deadlines should refer to the pertinent Bureau </w:t>
      </w:r>
      <w:r w:rsidR="00A672C7">
        <w:t>P</w:t>
      </w:r>
      <w:r>
        <w:t xml:space="preserve">ublic </w:t>
      </w:r>
      <w:r w:rsidR="00A672C7">
        <w:t>N</w:t>
      </w:r>
      <w:r>
        <w:t>otices</w:t>
      </w:r>
      <w:r w:rsidR="007A5151">
        <w:rPr>
          <w:rStyle w:val="FootnoteReference"/>
        </w:rPr>
        <w:footnoteReference w:id="9"/>
      </w:r>
      <w:r>
        <w:t xml:space="preserve"> for detailed filing instructions.  For additional information, contact Rob Gates or Larry Hannif-Ali of the Audio Division at (202) 418-2700. </w:t>
      </w:r>
      <w:r w:rsidRPr="006325D2">
        <w:t xml:space="preserve"> </w:t>
      </w:r>
    </w:p>
    <w:p w:rsidR="001D509A" w:rsidRDefault="001D509A" w:rsidP="006325D2"/>
    <w:p w:rsidR="001D509A" w:rsidRDefault="001D509A" w:rsidP="006325D2"/>
    <w:p w:rsidR="001D509A" w:rsidRPr="006325D2" w:rsidRDefault="001D509A" w:rsidP="001D509A">
      <w:pPr>
        <w:jc w:val="center"/>
      </w:pPr>
      <w:r>
        <w:t>-FCC-</w:t>
      </w:r>
    </w:p>
    <w:p w:rsidR="004C6410" w:rsidRDefault="004C6410" w:rsidP="00362C04">
      <w:pPr>
        <w:jc w:val="center"/>
      </w:pPr>
    </w:p>
    <w:sectPr w:rsidR="004C6410" w:rsidSect="00C76E42">
      <w:type w:val="continuous"/>
      <w:pgSz w:w="12240" w:h="15840" w:code="1"/>
      <w:pgMar w:top="144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299" w:rsidRDefault="00BD3299">
      <w:r>
        <w:separator/>
      </w:r>
    </w:p>
  </w:endnote>
  <w:endnote w:type="continuationSeparator" w:id="0">
    <w:p w:rsidR="00BD3299" w:rsidRDefault="00BD3299">
      <w:r>
        <w:continuationSeparator/>
      </w:r>
    </w:p>
  </w:endnote>
  <w:endnote w:type="continuationNotice" w:id="1">
    <w:p w:rsidR="00BD3299" w:rsidRDefault="00BD32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73F" w:rsidRDefault="00CA00D3" w:rsidP="00BC39D8">
    <w:pPr>
      <w:pStyle w:val="Footer"/>
      <w:framePr w:wrap="around" w:vAnchor="text" w:hAnchor="margin" w:xAlign="center" w:y="1"/>
      <w:rPr>
        <w:rStyle w:val="PageNumber"/>
      </w:rPr>
    </w:pPr>
    <w:r>
      <w:rPr>
        <w:rStyle w:val="PageNumber"/>
      </w:rPr>
      <w:fldChar w:fldCharType="begin"/>
    </w:r>
    <w:r w:rsidR="00ED40DB">
      <w:rPr>
        <w:rStyle w:val="PageNumber"/>
      </w:rPr>
      <w:instrText xml:space="preserve">PAGE  </w:instrText>
    </w:r>
    <w:r>
      <w:rPr>
        <w:rStyle w:val="PageNumber"/>
      </w:rPr>
      <w:fldChar w:fldCharType="end"/>
    </w:r>
  </w:p>
  <w:p w:rsidR="00A4773F" w:rsidRDefault="00A477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73F" w:rsidRDefault="00CA00D3" w:rsidP="00BC39D8">
    <w:pPr>
      <w:pStyle w:val="Footer"/>
      <w:framePr w:wrap="around" w:vAnchor="text" w:hAnchor="margin" w:xAlign="center" w:y="1"/>
      <w:rPr>
        <w:rStyle w:val="PageNumber"/>
      </w:rPr>
    </w:pPr>
    <w:r>
      <w:rPr>
        <w:rStyle w:val="PageNumber"/>
      </w:rPr>
      <w:fldChar w:fldCharType="begin"/>
    </w:r>
    <w:r w:rsidR="00ED40DB">
      <w:rPr>
        <w:rStyle w:val="PageNumber"/>
      </w:rPr>
      <w:instrText xml:space="preserve">PAGE  </w:instrText>
    </w:r>
    <w:r>
      <w:rPr>
        <w:rStyle w:val="PageNumber"/>
      </w:rPr>
      <w:fldChar w:fldCharType="separate"/>
    </w:r>
    <w:r w:rsidR="00CE57C1">
      <w:rPr>
        <w:rStyle w:val="PageNumber"/>
        <w:noProof/>
      </w:rPr>
      <w:t>2</w:t>
    </w:r>
    <w:r>
      <w:rPr>
        <w:rStyle w:val="PageNumber"/>
      </w:rPr>
      <w:fldChar w:fldCharType="end"/>
    </w:r>
  </w:p>
  <w:p w:rsidR="00A4773F" w:rsidRDefault="00A477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52F" w:rsidRDefault="00A275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299" w:rsidRDefault="00BD3299">
      <w:r>
        <w:separator/>
      </w:r>
    </w:p>
  </w:footnote>
  <w:footnote w:type="continuationSeparator" w:id="0">
    <w:p w:rsidR="00BD3299" w:rsidRDefault="00BD3299">
      <w:r>
        <w:continuationSeparator/>
      </w:r>
    </w:p>
  </w:footnote>
  <w:footnote w:type="continuationNotice" w:id="1">
    <w:p w:rsidR="00BD3299" w:rsidRDefault="00BD3299"/>
  </w:footnote>
  <w:footnote w:id="2">
    <w:p w:rsidR="00FC20CA" w:rsidRPr="001D509A" w:rsidRDefault="00FC20CA">
      <w:pPr>
        <w:pStyle w:val="FootnoteText"/>
        <w:rPr>
          <w:sz w:val="20"/>
        </w:rPr>
      </w:pPr>
      <w:r w:rsidRPr="001D509A">
        <w:rPr>
          <w:rStyle w:val="FootnoteReference"/>
          <w:sz w:val="20"/>
        </w:rPr>
        <w:footnoteRef/>
      </w:r>
      <w:r w:rsidRPr="001D509A">
        <w:rPr>
          <w:sz w:val="20"/>
        </w:rPr>
        <w:t xml:space="preserve"> </w:t>
      </w:r>
      <w:r w:rsidR="008A407C">
        <w:rPr>
          <w:sz w:val="20"/>
        </w:rPr>
        <w:t>Pub. L. No. 111-371, 124 Stat. 4972 (2011).</w:t>
      </w:r>
    </w:p>
  </w:footnote>
  <w:footnote w:id="3">
    <w:p w:rsidR="00C01A73" w:rsidRPr="001D509A" w:rsidRDefault="00C01A73">
      <w:pPr>
        <w:pStyle w:val="FootnoteText"/>
        <w:rPr>
          <w:sz w:val="20"/>
        </w:rPr>
      </w:pPr>
      <w:r w:rsidRPr="001D509A">
        <w:rPr>
          <w:rStyle w:val="FootnoteReference"/>
          <w:sz w:val="20"/>
        </w:rPr>
        <w:footnoteRef/>
      </w:r>
      <w:r w:rsidRPr="001D509A">
        <w:rPr>
          <w:sz w:val="20"/>
        </w:rPr>
        <w:t xml:space="preserve"> </w:t>
      </w:r>
      <w:r>
        <w:rPr>
          <w:i/>
          <w:sz w:val="20"/>
        </w:rPr>
        <w:t>See Creation of a Low Power Radio Service</w:t>
      </w:r>
      <w:r>
        <w:rPr>
          <w:sz w:val="20"/>
        </w:rPr>
        <w:t xml:space="preserve">, Fourth Report and Order and Third Order on Reconsideration, 27 FCC Rcd 3364, </w:t>
      </w:r>
      <w:r w:rsidR="000B1BA2">
        <w:rPr>
          <w:sz w:val="20"/>
        </w:rPr>
        <w:t>3382-88</w:t>
      </w:r>
      <w:r>
        <w:rPr>
          <w:sz w:val="20"/>
        </w:rPr>
        <w:t xml:space="preserve"> (2012) (“</w:t>
      </w:r>
      <w:r>
        <w:rPr>
          <w:i/>
          <w:sz w:val="20"/>
        </w:rPr>
        <w:t>Fourth Report and Order</w:t>
      </w:r>
      <w:r>
        <w:rPr>
          <w:sz w:val="20"/>
        </w:rPr>
        <w:t>”).</w:t>
      </w:r>
    </w:p>
  </w:footnote>
  <w:footnote w:id="4">
    <w:p w:rsidR="00C01A73" w:rsidRPr="001D509A" w:rsidRDefault="00C01A73">
      <w:pPr>
        <w:pStyle w:val="FootnoteText"/>
        <w:rPr>
          <w:sz w:val="20"/>
        </w:rPr>
      </w:pPr>
      <w:r w:rsidRPr="001D509A">
        <w:rPr>
          <w:rStyle w:val="FootnoteReference"/>
          <w:sz w:val="20"/>
        </w:rPr>
        <w:footnoteRef/>
      </w:r>
      <w:r w:rsidRPr="001D509A">
        <w:rPr>
          <w:sz w:val="20"/>
        </w:rPr>
        <w:t xml:space="preserve"> </w:t>
      </w:r>
      <w:r>
        <w:rPr>
          <w:i/>
          <w:sz w:val="20"/>
        </w:rPr>
        <w:t xml:space="preserve">Id. </w:t>
      </w:r>
      <w:r>
        <w:rPr>
          <w:sz w:val="20"/>
        </w:rPr>
        <w:t>at 3398-3406.</w:t>
      </w:r>
    </w:p>
  </w:footnote>
  <w:footnote w:id="5">
    <w:p w:rsidR="00C01A73" w:rsidRPr="001D509A" w:rsidRDefault="00C01A73">
      <w:pPr>
        <w:pStyle w:val="FootnoteText"/>
        <w:rPr>
          <w:sz w:val="20"/>
        </w:rPr>
      </w:pPr>
      <w:r w:rsidRPr="001D509A">
        <w:rPr>
          <w:rStyle w:val="FootnoteReference"/>
          <w:sz w:val="20"/>
        </w:rPr>
        <w:footnoteRef/>
      </w:r>
      <w:r w:rsidRPr="001D509A">
        <w:rPr>
          <w:sz w:val="20"/>
        </w:rPr>
        <w:t xml:space="preserve"> </w:t>
      </w:r>
      <w:r>
        <w:rPr>
          <w:i/>
          <w:sz w:val="20"/>
        </w:rPr>
        <w:t>Id.</w:t>
      </w:r>
      <w:r>
        <w:rPr>
          <w:sz w:val="20"/>
        </w:rPr>
        <w:t xml:space="preserve"> at </w:t>
      </w:r>
      <w:r w:rsidR="000B1BA2">
        <w:rPr>
          <w:sz w:val="20"/>
        </w:rPr>
        <w:t>3383-84</w:t>
      </w:r>
      <w:r>
        <w:rPr>
          <w:sz w:val="20"/>
        </w:rPr>
        <w:t>.</w:t>
      </w:r>
    </w:p>
  </w:footnote>
  <w:footnote w:id="6">
    <w:p w:rsidR="00762F72" w:rsidRPr="001D509A" w:rsidRDefault="00762F72">
      <w:pPr>
        <w:pStyle w:val="FootnoteText"/>
        <w:rPr>
          <w:sz w:val="20"/>
        </w:rPr>
      </w:pPr>
      <w:r w:rsidRPr="001D509A">
        <w:rPr>
          <w:rStyle w:val="FootnoteReference"/>
          <w:sz w:val="20"/>
        </w:rPr>
        <w:footnoteRef/>
      </w:r>
      <w:r w:rsidRPr="001D509A">
        <w:rPr>
          <w:sz w:val="20"/>
        </w:rPr>
        <w:t xml:space="preserve"> </w:t>
      </w:r>
      <w:r w:rsidRPr="001D509A">
        <w:rPr>
          <w:i/>
          <w:sz w:val="20"/>
        </w:rPr>
        <w:t>Id.</w:t>
      </w:r>
      <w:r w:rsidRPr="001D509A">
        <w:rPr>
          <w:sz w:val="20"/>
        </w:rPr>
        <w:t xml:space="preserve"> at </w:t>
      </w:r>
      <w:r w:rsidR="000B1BA2">
        <w:rPr>
          <w:sz w:val="20"/>
        </w:rPr>
        <w:t>3387</w:t>
      </w:r>
      <w:r w:rsidRPr="001D509A">
        <w:rPr>
          <w:sz w:val="20"/>
        </w:rPr>
        <w:t>.</w:t>
      </w:r>
    </w:p>
  </w:footnote>
  <w:footnote w:id="7">
    <w:p w:rsidR="00762F72" w:rsidRPr="001D509A" w:rsidRDefault="00762F72">
      <w:pPr>
        <w:pStyle w:val="FootnoteText"/>
        <w:rPr>
          <w:i/>
          <w:sz w:val="20"/>
        </w:rPr>
      </w:pPr>
      <w:r w:rsidRPr="001D509A">
        <w:rPr>
          <w:rStyle w:val="FootnoteReference"/>
          <w:sz w:val="20"/>
        </w:rPr>
        <w:footnoteRef/>
      </w:r>
      <w:r w:rsidRPr="001D509A">
        <w:rPr>
          <w:sz w:val="20"/>
        </w:rPr>
        <w:t xml:space="preserve"> </w:t>
      </w:r>
      <w:r>
        <w:rPr>
          <w:i/>
          <w:sz w:val="20"/>
        </w:rPr>
        <w:t xml:space="preserve">Id. </w:t>
      </w:r>
      <w:r>
        <w:rPr>
          <w:sz w:val="20"/>
        </w:rPr>
        <w:t xml:space="preserve">at </w:t>
      </w:r>
      <w:r w:rsidR="000B1BA2">
        <w:rPr>
          <w:sz w:val="20"/>
        </w:rPr>
        <w:t>3385-86</w:t>
      </w:r>
      <w:r w:rsidRPr="001D509A">
        <w:rPr>
          <w:sz w:val="20"/>
        </w:rPr>
        <w:t xml:space="preserve"> (applicants will be provided “limited opportunity” to ensure that proposals do not eliminate protected channel/point combinations).</w:t>
      </w:r>
    </w:p>
  </w:footnote>
  <w:footnote w:id="8">
    <w:p w:rsidR="00762F72" w:rsidRPr="001D509A" w:rsidRDefault="00762F72">
      <w:pPr>
        <w:pStyle w:val="FootnoteText"/>
        <w:rPr>
          <w:sz w:val="20"/>
        </w:rPr>
      </w:pPr>
      <w:r w:rsidRPr="001D509A">
        <w:rPr>
          <w:rStyle w:val="FootnoteReference"/>
          <w:sz w:val="20"/>
        </w:rPr>
        <w:footnoteRef/>
      </w:r>
      <w:r w:rsidRPr="001D509A">
        <w:rPr>
          <w:sz w:val="20"/>
        </w:rPr>
        <w:t xml:space="preserve"> </w:t>
      </w:r>
      <w:r w:rsidRPr="001D509A">
        <w:rPr>
          <w:i/>
          <w:sz w:val="20"/>
        </w:rPr>
        <w:t>See</w:t>
      </w:r>
      <w:r w:rsidR="007A5151">
        <w:rPr>
          <w:i/>
          <w:sz w:val="20"/>
        </w:rPr>
        <w:t xml:space="preserve">, e.g., </w:t>
      </w:r>
      <w:r w:rsidRPr="001D509A">
        <w:rPr>
          <w:i/>
          <w:sz w:val="20"/>
        </w:rPr>
        <w:t>Media Bureau Announces FM Translator Auction 83 Filing Window and Filing Procedures</w:t>
      </w:r>
      <w:r w:rsidRPr="001D509A">
        <w:rPr>
          <w:sz w:val="20"/>
        </w:rPr>
        <w:t>, Public Notice, DA 13-283 (rel. Feb. 26</w:t>
      </w:r>
      <w:r w:rsidR="00B54720">
        <w:rPr>
          <w:sz w:val="20"/>
        </w:rPr>
        <w:t>,</w:t>
      </w:r>
      <w:r w:rsidRPr="001D509A">
        <w:rPr>
          <w:sz w:val="20"/>
        </w:rPr>
        <w:t xml:space="preserve"> 2013) (“</w:t>
      </w:r>
      <w:r w:rsidRPr="001D509A">
        <w:rPr>
          <w:i/>
          <w:sz w:val="20"/>
        </w:rPr>
        <w:t>Singleton Filing PN</w:t>
      </w:r>
      <w:r w:rsidRPr="001D509A">
        <w:rPr>
          <w:sz w:val="20"/>
        </w:rPr>
        <w:t>”)</w:t>
      </w:r>
      <w:r w:rsidRPr="007A5151">
        <w:rPr>
          <w:sz w:val="20"/>
        </w:rPr>
        <w:t xml:space="preserve"> (any Form 349 proposal which differs from original tech box propos</w:t>
      </w:r>
      <w:r w:rsidR="007A5151" w:rsidRPr="007A5151">
        <w:rPr>
          <w:sz w:val="20"/>
        </w:rPr>
        <w:t>al and proposes a transmitter site “at a location within the 39 km buffer of ANY defined Market Grid” must file Preclusion Showing) (emphasis in original).</w:t>
      </w:r>
    </w:p>
  </w:footnote>
  <w:footnote w:id="9">
    <w:p w:rsidR="007A5151" w:rsidRPr="001D509A" w:rsidRDefault="007A5151">
      <w:pPr>
        <w:pStyle w:val="FootnoteText"/>
        <w:rPr>
          <w:sz w:val="20"/>
        </w:rPr>
      </w:pPr>
      <w:r w:rsidRPr="001D509A">
        <w:rPr>
          <w:rStyle w:val="FootnoteReference"/>
          <w:sz w:val="20"/>
        </w:rPr>
        <w:footnoteRef/>
      </w:r>
      <w:r w:rsidRPr="001D509A">
        <w:rPr>
          <w:sz w:val="20"/>
        </w:rPr>
        <w:t xml:space="preserve"> </w:t>
      </w:r>
      <w:r w:rsidRPr="001D509A">
        <w:rPr>
          <w:i/>
          <w:sz w:val="20"/>
        </w:rPr>
        <w:t xml:space="preserve">See Singleton Filing PN </w:t>
      </w:r>
      <w:r w:rsidR="00B5351E">
        <w:rPr>
          <w:sz w:val="20"/>
        </w:rPr>
        <w:t xml:space="preserve">at 1 </w:t>
      </w:r>
      <w:r w:rsidRPr="001D509A">
        <w:rPr>
          <w:sz w:val="20"/>
        </w:rPr>
        <w:t xml:space="preserve">(establishing March 28, 2013 Form 349 filing deadline for certain singleton applications outside Spectrum Limited markets); </w:t>
      </w:r>
      <w:r w:rsidRPr="001D509A">
        <w:rPr>
          <w:i/>
          <w:sz w:val="20"/>
        </w:rPr>
        <w:t>Media Bureau Announces April 1 – April 19 Filing Window for FM Translator Auction 83 Preclusion Showings</w:t>
      </w:r>
      <w:r w:rsidRPr="001D509A">
        <w:rPr>
          <w:sz w:val="20"/>
        </w:rPr>
        <w:t xml:space="preserve">, Public Notice, DA 13-427 (rel. </w:t>
      </w:r>
      <w:r w:rsidR="004412D7" w:rsidRPr="001D509A">
        <w:rPr>
          <w:sz w:val="20"/>
        </w:rPr>
        <w:t>March 14, 2013) (establishing an April 19</w:t>
      </w:r>
      <w:r w:rsidR="002F0835">
        <w:rPr>
          <w:sz w:val="20"/>
        </w:rPr>
        <w:t>, 2013</w:t>
      </w:r>
      <w:r w:rsidR="004412D7" w:rsidRPr="001D509A">
        <w:rPr>
          <w:sz w:val="20"/>
        </w:rPr>
        <w:t xml:space="preserve"> tech box amendment deadline for proposal</w:t>
      </w:r>
      <w:r w:rsidR="00B54720">
        <w:rPr>
          <w:sz w:val="20"/>
        </w:rPr>
        <w:t>s</w:t>
      </w:r>
      <w:r w:rsidR="004412D7" w:rsidRPr="001D509A">
        <w:rPr>
          <w:sz w:val="20"/>
        </w:rPr>
        <w:t xml:space="preserve"> in or near Spectrum Limited markets).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52F" w:rsidRDefault="00A275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52F" w:rsidRDefault="00A275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73F" w:rsidRDefault="00E949E3">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1DDFD234" wp14:editId="2E8FC645">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sidR="00926F6B">
      <w:rPr>
        <w:rFonts w:ascii="News Gothic MT" w:hAnsi="News Gothic MT"/>
        <w:b/>
        <w:noProof/>
        <w:sz w:val="24"/>
      </w:rPr>
      <mc:AlternateContent>
        <mc:Choice Requires="wps">
          <w:drawing>
            <wp:anchor distT="0" distB="0" distL="114300" distR="114300" simplePos="0" relativeHeight="251656192" behindDoc="0" locked="0" layoutInCell="0" allowOverlap="1" wp14:anchorId="5CB61371" wp14:editId="5014AFBD">
              <wp:simplePos x="0" y="0"/>
              <wp:positionH relativeFrom="column">
                <wp:posOffset>604520</wp:posOffset>
              </wp:positionH>
              <wp:positionV relativeFrom="paragraph">
                <wp:posOffset>731520</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773F" w:rsidRDefault="00ED40DB">
                          <w:pPr>
                            <w:rPr>
                              <w:rFonts w:ascii="Arial" w:hAnsi="Arial"/>
                              <w:b/>
                            </w:rPr>
                          </w:pPr>
                          <w:r>
                            <w:rPr>
                              <w:rFonts w:ascii="Arial" w:hAnsi="Arial"/>
                              <w:b/>
                            </w:rPr>
                            <w:t>Federal Communications Commission</w:t>
                          </w:r>
                        </w:p>
                        <w:p w:rsidR="00A4773F" w:rsidRDefault="00ED40D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4773F" w:rsidRDefault="00ED40DB">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A4773F" w:rsidRDefault="00ED40DB">
                    <w:pPr>
                      <w:rPr>
                        <w:rFonts w:ascii="Arial" w:hAnsi="Arial"/>
                        <w:b/>
                      </w:rPr>
                    </w:pPr>
                    <w:r>
                      <w:rPr>
                        <w:rFonts w:ascii="Arial" w:hAnsi="Arial"/>
                        <w:b/>
                      </w:rPr>
                      <w:t>Federal Communications Commission</w:t>
                    </w:r>
                  </w:p>
                  <w:p w:rsidR="00A4773F" w:rsidRDefault="00ED40D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4773F" w:rsidRDefault="00ED40DB">
                    <w:pPr>
                      <w:rPr>
                        <w:rFonts w:ascii="Arial" w:hAnsi="Arial"/>
                        <w:sz w:val="24"/>
                      </w:rPr>
                    </w:pPr>
                    <w:r>
                      <w:rPr>
                        <w:rFonts w:ascii="Arial" w:hAnsi="Arial"/>
                        <w:b/>
                      </w:rPr>
                      <w:t>Washington, D.C. 20554</w:t>
                    </w:r>
                  </w:p>
                </w:txbxContent>
              </v:textbox>
            </v:shape>
          </w:pict>
        </mc:Fallback>
      </mc:AlternateContent>
    </w:r>
    <w:r w:rsidR="00ED40DB">
      <w:rPr>
        <w:rFonts w:ascii="News Gothic MT" w:hAnsi="News Gothic MT"/>
        <w:b/>
        <w:kern w:val="28"/>
        <w:sz w:val="96"/>
      </w:rPr>
      <w:t>PUBLIC NOTICE</w:t>
    </w:r>
  </w:p>
  <w:p w:rsidR="00A4773F" w:rsidRDefault="00926F6B">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44A6CFC2" wp14:editId="4E7D271C">
              <wp:simplePos x="0" y="0"/>
              <wp:positionH relativeFrom="column">
                <wp:posOffset>0</wp:posOffset>
              </wp:positionH>
              <wp:positionV relativeFrom="paragraph">
                <wp:posOffset>697865</wp:posOffset>
              </wp:positionV>
              <wp:extent cx="6858000" cy="2540"/>
              <wp:effectExtent l="0" t="0" r="19050" b="355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32522AA6" wp14:editId="153AF51A">
              <wp:simplePos x="0" y="0"/>
              <wp:positionH relativeFrom="column">
                <wp:posOffset>4276090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773F" w:rsidRDefault="00ED40DB">
                          <w:pPr>
                            <w:spacing w:before="40"/>
                            <w:jc w:val="right"/>
                            <w:rPr>
                              <w:rFonts w:ascii="Arial" w:hAnsi="Arial"/>
                              <w:b/>
                              <w:sz w:val="16"/>
                            </w:rPr>
                          </w:pPr>
                          <w:r>
                            <w:rPr>
                              <w:rFonts w:ascii="Arial" w:hAnsi="Arial"/>
                              <w:b/>
                              <w:sz w:val="16"/>
                            </w:rPr>
                            <w:t>News Media Information 202 / 418-0500</w:t>
                          </w:r>
                        </w:p>
                        <w:p w:rsidR="00A4773F" w:rsidRDefault="00ED40DB">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A4773F" w:rsidRDefault="00ED40DB">
                          <w:pPr>
                            <w:jc w:val="right"/>
                            <w:rPr>
                              <w:rFonts w:ascii="Arial" w:hAnsi="Arial"/>
                              <w:b/>
                              <w:sz w:val="16"/>
                            </w:rPr>
                          </w:pPr>
                          <w:r>
                            <w:rPr>
                              <w:rFonts w:ascii="Arial" w:hAnsi="Arial"/>
                              <w:b/>
                              <w:sz w:val="16"/>
                            </w:rPr>
                            <w:t>TTY: 1-888-835-5322</w:t>
                          </w:r>
                        </w:p>
                        <w:p w:rsidR="00A4773F" w:rsidRDefault="00A4773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A4773F" w:rsidRDefault="00ED40DB">
                    <w:pPr>
                      <w:spacing w:before="40"/>
                      <w:jc w:val="right"/>
                      <w:rPr>
                        <w:rFonts w:ascii="Arial" w:hAnsi="Arial"/>
                        <w:b/>
                        <w:sz w:val="16"/>
                      </w:rPr>
                    </w:pPr>
                    <w:r>
                      <w:rPr>
                        <w:rFonts w:ascii="Arial" w:hAnsi="Arial"/>
                        <w:b/>
                        <w:sz w:val="16"/>
                      </w:rPr>
                      <w:t>News Media Information 202 / 418-0500</w:t>
                    </w:r>
                  </w:p>
                  <w:p w:rsidR="00A4773F" w:rsidRDefault="00ED40DB">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A4773F" w:rsidRDefault="00ED40DB">
                    <w:pPr>
                      <w:jc w:val="right"/>
                      <w:rPr>
                        <w:rFonts w:ascii="Arial" w:hAnsi="Arial"/>
                        <w:b/>
                        <w:sz w:val="16"/>
                      </w:rPr>
                    </w:pPr>
                    <w:r>
                      <w:rPr>
                        <w:rFonts w:ascii="Arial" w:hAnsi="Arial"/>
                        <w:b/>
                        <w:sz w:val="16"/>
                      </w:rPr>
                      <w:t>TTY: 1-888-835-5322</w:t>
                    </w:r>
                  </w:p>
                  <w:p w:rsidR="00A4773F" w:rsidRDefault="00A4773F">
                    <w:pPr>
                      <w:jc w:val="right"/>
                    </w:pPr>
                  </w:p>
                </w:txbxContent>
              </v:textbox>
            </v:shape>
          </w:pict>
        </mc:Fallback>
      </mc:AlternateContent>
    </w:r>
  </w:p>
  <w:p w:rsidR="00A4773F" w:rsidRDefault="00A4773F">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3DA2"/>
    <w:multiLevelType w:val="hybridMultilevel"/>
    <w:tmpl w:val="4CB09436"/>
    <w:lvl w:ilvl="0" w:tplc="BDAAD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856C24"/>
    <w:multiLevelType w:val="hybridMultilevel"/>
    <w:tmpl w:val="C1AA146C"/>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2">
    <w:nsid w:val="2589334B"/>
    <w:multiLevelType w:val="hybridMultilevel"/>
    <w:tmpl w:val="4A786B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6A7579C"/>
    <w:multiLevelType w:val="hybridMultilevel"/>
    <w:tmpl w:val="7476653A"/>
    <w:lvl w:ilvl="0" w:tplc="8C2E5A6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3E9D5DAD"/>
    <w:multiLevelType w:val="hybridMultilevel"/>
    <w:tmpl w:val="B854133E"/>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7">
    <w:nsid w:val="418F4139"/>
    <w:multiLevelType w:val="hybridMultilevel"/>
    <w:tmpl w:val="D09E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7A15517C"/>
    <w:multiLevelType w:val="hybridMultilevel"/>
    <w:tmpl w:val="7A325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5"/>
  </w:num>
  <w:num w:numId="13">
    <w:abstractNumId w:val="4"/>
  </w:num>
  <w:num w:numId="14">
    <w:abstractNumId w:val="2"/>
  </w:num>
  <w:num w:numId="15">
    <w:abstractNumId w:val="12"/>
  </w:num>
  <w:num w:numId="16">
    <w:abstractNumId w:val="1"/>
  </w:num>
  <w:num w:numId="17">
    <w:abstractNumId w:val="0"/>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9E3"/>
    <w:rsid w:val="000026AF"/>
    <w:rsid w:val="000111DB"/>
    <w:rsid w:val="00011710"/>
    <w:rsid w:val="00016E94"/>
    <w:rsid w:val="00016F8B"/>
    <w:rsid w:val="0002461F"/>
    <w:rsid w:val="00032333"/>
    <w:rsid w:val="00032684"/>
    <w:rsid w:val="00033E76"/>
    <w:rsid w:val="000346F3"/>
    <w:rsid w:val="00034AA1"/>
    <w:rsid w:val="00042CDD"/>
    <w:rsid w:val="00046E6C"/>
    <w:rsid w:val="00055970"/>
    <w:rsid w:val="00055F7C"/>
    <w:rsid w:val="000620D1"/>
    <w:rsid w:val="00066C2F"/>
    <w:rsid w:val="000761CE"/>
    <w:rsid w:val="00082683"/>
    <w:rsid w:val="00090147"/>
    <w:rsid w:val="00092390"/>
    <w:rsid w:val="00096964"/>
    <w:rsid w:val="000A02D3"/>
    <w:rsid w:val="000B1BA2"/>
    <w:rsid w:val="000C2417"/>
    <w:rsid w:val="000C41FA"/>
    <w:rsid w:val="000C6650"/>
    <w:rsid w:val="000C700E"/>
    <w:rsid w:val="000E6C87"/>
    <w:rsid w:val="000F272A"/>
    <w:rsid w:val="0010320F"/>
    <w:rsid w:val="00117042"/>
    <w:rsid w:val="00120099"/>
    <w:rsid w:val="00122D9D"/>
    <w:rsid w:val="0012356F"/>
    <w:rsid w:val="00126A40"/>
    <w:rsid w:val="001319D8"/>
    <w:rsid w:val="00146453"/>
    <w:rsid w:val="00157A80"/>
    <w:rsid w:val="00180B14"/>
    <w:rsid w:val="0018145D"/>
    <w:rsid w:val="0018160D"/>
    <w:rsid w:val="00185F0F"/>
    <w:rsid w:val="001922A9"/>
    <w:rsid w:val="001A0B0F"/>
    <w:rsid w:val="001C4344"/>
    <w:rsid w:val="001D184F"/>
    <w:rsid w:val="001D33EF"/>
    <w:rsid w:val="001D509A"/>
    <w:rsid w:val="001D58B2"/>
    <w:rsid w:val="001E558D"/>
    <w:rsid w:val="001E55C1"/>
    <w:rsid w:val="001E64B7"/>
    <w:rsid w:val="00222F7F"/>
    <w:rsid w:val="00234D85"/>
    <w:rsid w:val="00236DA3"/>
    <w:rsid w:val="00243302"/>
    <w:rsid w:val="00257819"/>
    <w:rsid w:val="002600B5"/>
    <w:rsid w:val="00273BCA"/>
    <w:rsid w:val="0027697F"/>
    <w:rsid w:val="00282BB0"/>
    <w:rsid w:val="00287A4C"/>
    <w:rsid w:val="00294026"/>
    <w:rsid w:val="0029436B"/>
    <w:rsid w:val="002960B9"/>
    <w:rsid w:val="002A0D95"/>
    <w:rsid w:val="002A4AB7"/>
    <w:rsid w:val="002A6CEF"/>
    <w:rsid w:val="002B24F8"/>
    <w:rsid w:val="002B2C50"/>
    <w:rsid w:val="002B50ED"/>
    <w:rsid w:val="002B5BB2"/>
    <w:rsid w:val="002B7DF4"/>
    <w:rsid w:val="002D09E8"/>
    <w:rsid w:val="002E1DB8"/>
    <w:rsid w:val="002E6FA1"/>
    <w:rsid w:val="002F0835"/>
    <w:rsid w:val="002F0DA3"/>
    <w:rsid w:val="002F1F13"/>
    <w:rsid w:val="002F328B"/>
    <w:rsid w:val="00302929"/>
    <w:rsid w:val="0030292B"/>
    <w:rsid w:val="00320BB5"/>
    <w:rsid w:val="00334D94"/>
    <w:rsid w:val="003416FA"/>
    <w:rsid w:val="00350F97"/>
    <w:rsid w:val="00362C04"/>
    <w:rsid w:val="00372B83"/>
    <w:rsid w:val="003740C1"/>
    <w:rsid w:val="00374293"/>
    <w:rsid w:val="00381EFC"/>
    <w:rsid w:val="0039049F"/>
    <w:rsid w:val="003B24FF"/>
    <w:rsid w:val="003B6C40"/>
    <w:rsid w:val="003B7039"/>
    <w:rsid w:val="003D3C24"/>
    <w:rsid w:val="00407ABB"/>
    <w:rsid w:val="00410FF1"/>
    <w:rsid w:val="00424449"/>
    <w:rsid w:val="0042623C"/>
    <w:rsid w:val="004412D7"/>
    <w:rsid w:val="00446E5D"/>
    <w:rsid w:val="00450EAD"/>
    <w:rsid w:val="0047435C"/>
    <w:rsid w:val="00482B42"/>
    <w:rsid w:val="004847DB"/>
    <w:rsid w:val="00487449"/>
    <w:rsid w:val="00490F0F"/>
    <w:rsid w:val="004917A2"/>
    <w:rsid w:val="00495F6C"/>
    <w:rsid w:val="0049697F"/>
    <w:rsid w:val="004A1FFA"/>
    <w:rsid w:val="004B171D"/>
    <w:rsid w:val="004B328E"/>
    <w:rsid w:val="004C1BB2"/>
    <w:rsid w:val="004C4A72"/>
    <w:rsid w:val="004C6410"/>
    <w:rsid w:val="004E081E"/>
    <w:rsid w:val="004E37E2"/>
    <w:rsid w:val="005007AF"/>
    <w:rsid w:val="00505B9D"/>
    <w:rsid w:val="005065D4"/>
    <w:rsid w:val="0051481B"/>
    <w:rsid w:val="00514EEC"/>
    <w:rsid w:val="005154A9"/>
    <w:rsid w:val="00517D1D"/>
    <w:rsid w:val="00520178"/>
    <w:rsid w:val="00523EAC"/>
    <w:rsid w:val="00545771"/>
    <w:rsid w:val="00550292"/>
    <w:rsid w:val="005514C5"/>
    <w:rsid w:val="00555967"/>
    <w:rsid w:val="0055737A"/>
    <w:rsid w:val="0056139C"/>
    <w:rsid w:val="00564986"/>
    <w:rsid w:val="00567C33"/>
    <w:rsid w:val="00581C83"/>
    <w:rsid w:val="005855A4"/>
    <w:rsid w:val="00586915"/>
    <w:rsid w:val="00590801"/>
    <w:rsid w:val="005B3AE4"/>
    <w:rsid w:val="005B7337"/>
    <w:rsid w:val="005C08F2"/>
    <w:rsid w:val="005C286E"/>
    <w:rsid w:val="005D3E9B"/>
    <w:rsid w:val="005D48BA"/>
    <w:rsid w:val="005E1665"/>
    <w:rsid w:val="005E29A5"/>
    <w:rsid w:val="005E3466"/>
    <w:rsid w:val="005E4E7F"/>
    <w:rsid w:val="005E562A"/>
    <w:rsid w:val="00604B08"/>
    <w:rsid w:val="00610461"/>
    <w:rsid w:val="00610C1B"/>
    <w:rsid w:val="006152CC"/>
    <w:rsid w:val="006249EC"/>
    <w:rsid w:val="00625A6F"/>
    <w:rsid w:val="006325D2"/>
    <w:rsid w:val="006357A0"/>
    <w:rsid w:val="00636AE8"/>
    <w:rsid w:val="006375A6"/>
    <w:rsid w:val="00640062"/>
    <w:rsid w:val="00652FB5"/>
    <w:rsid w:val="00653650"/>
    <w:rsid w:val="00662E72"/>
    <w:rsid w:val="00663013"/>
    <w:rsid w:val="006637A3"/>
    <w:rsid w:val="00664E6D"/>
    <w:rsid w:val="00671EB0"/>
    <w:rsid w:val="00675918"/>
    <w:rsid w:val="006876FF"/>
    <w:rsid w:val="006966ED"/>
    <w:rsid w:val="006A00C5"/>
    <w:rsid w:val="006A0F66"/>
    <w:rsid w:val="006B1389"/>
    <w:rsid w:val="006B4555"/>
    <w:rsid w:val="006C594F"/>
    <w:rsid w:val="006C5C6E"/>
    <w:rsid w:val="006D0634"/>
    <w:rsid w:val="006D0BE6"/>
    <w:rsid w:val="006D2F7B"/>
    <w:rsid w:val="006D3929"/>
    <w:rsid w:val="006D739F"/>
    <w:rsid w:val="006E492E"/>
    <w:rsid w:val="006F02C4"/>
    <w:rsid w:val="006F06BC"/>
    <w:rsid w:val="006F2D67"/>
    <w:rsid w:val="00702914"/>
    <w:rsid w:val="00703957"/>
    <w:rsid w:val="0071000B"/>
    <w:rsid w:val="00712F98"/>
    <w:rsid w:val="00713F78"/>
    <w:rsid w:val="007140E2"/>
    <w:rsid w:val="007159B0"/>
    <w:rsid w:val="0072503E"/>
    <w:rsid w:val="00725C8A"/>
    <w:rsid w:val="00727BE9"/>
    <w:rsid w:val="007310D6"/>
    <w:rsid w:val="00733028"/>
    <w:rsid w:val="00734592"/>
    <w:rsid w:val="007364D6"/>
    <w:rsid w:val="00762F72"/>
    <w:rsid w:val="00763192"/>
    <w:rsid w:val="007640DC"/>
    <w:rsid w:val="00764B6B"/>
    <w:rsid w:val="00766A0F"/>
    <w:rsid w:val="007754F9"/>
    <w:rsid w:val="00775E54"/>
    <w:rsid w:val="0077661C"/>
    <w:rsid w:val="00791716"/>
    <w:rsid w:val="007A1D13"/>
    <w:rsid w:val="007A3C0A"/>
    <w:rsid w:val="007A5151"/>
    <w:rsid w:val="007A7C51"/>
    <w:rsid w:val="007D324B"/>
    <w:rsid w:val="007E5AEA"/>
    <w:rsid w:val="007F1D29"/>
    <w:rsid w:val="007F32D7"/>
    <w:rsid w:val="007F675F"/>
    <w:rsid w:val="008037BB"/>
    <w:rsid w:val="00817AF5"/>
    <w:rsid w:val="00820781"/>
    <w:rsid w:val="00820D73"/>
    <w:rsid w:val="00824D77"/>
    <w:rsid w:val="00825608"/>
    <w:rsid w:val="008312F2"/>
    <w:rsid w:val="0083161A"/>
    <w:rsid w:val="008373AB"/>
    <w:rsid w:val="008458A8"/>
    <w:rsid w:val="00853A7F"/>
    <w:rsid w:val="0085590B"/>
    <w:rsid w:val="00861B5F"/>
    <w:rsid w:val="00880B5D"/>
    <w:rsid w:val="008A0BC8"/>
    <w:rsid w:val="008A351F"/>
    <w:rsid w:val="008A407C"/>
    <w:rsid w:val="008B0B3C"/>
    <w:rsid w:val="008B1A32"/>
    <w:rsid w:val="008B672C"/>
    <w:rsid w:val="008C2C1B"/>
    <w:rsid w:val="008D0F72"/>
    <w:rsid w:val="008D1E53"/>
    <w:rsid w:val="008F12BB"/>
    <w:rsid w:val="008F269B"/>
    <w:rsid w:val="008F4B46"/>
    <w:rsid w:val="00905F11"/>
    <w:rsid w:val="009129EA"/>
    <w:rsid w:val="009170BA"/>
    <w:rsid w:val="009170D0"/>
    <w:rsid w:val="00922B3D"/>
    <w:rsid w:val="00926F6B"/>
    <w:rsid w:val="00937F58"/>
    <w:rsid w:val="009408E7"/>
    <w:rsid w:val="00954C3D"/>
    <w:rsid w:val="00962369"/>
    <w:rsid w:val="0096377B"/>
    <w:rsid w:val="00964D67"/>
    <w:rsid w:val="009730F4"/>
    <w:rsid w:val="00974B3E"/>
    <w:rsid w:val="00975738"/>
    <w:rsid w:val="0097731E"/>
    <w:rsid w:val="009806CC"/>
    <w:rsid w:val="0098180E"/>
    <w:rsid w:val="00983CE6"/>
    <w:rsid w:val="00987917"/>
    <w:rsid w:val="009912F1"/>
    <w:rsid w:val="009B2E74"/>
    <w:rsid w:val="009C5FD3"/>
    <w:rsid w:val="009C7950"/>
    <w:rsid w:val="009D330C"/>
    <w:rsid w:val="009F127C"/>
    <w:rsid w:val="009F4D30"/>
    <w:rsid w:val="009F6563"/>
    <w:rsid w:val="009F73E5"/>
    <w:rsid w:val="009F780D"/>
    <w:rsid w:val="00A01E58"/>
    <w:rsid w:val="00A1570F"/>
    <w:rsid w:val="00A157D9"/>
    <w:rsid w:val="00A16BB8"/>
    <w:rsid w:val="00A21415"/>
    <w:rsid w:val="00A2752F"/>
    <w:rsid w:val="00A27A1C"/>
    <w:rsid w:val="00A4059F"/>
    <w:rsid w:val="00A4773F"/>
    <w:rsid w:val="00A542FB"/>
    <w:rsid w:val="00A672C7"/>
    <w:rsid w:val="00A67B9C"/>
    <w:rsid w:val="00A67F63"/>
    <w:rsid w:val="00A76DB8"/>
    <w:rsid w:val="00A7761F"/>
    <w:rsid w:val="00A77F40"/>
    <w:rsid w:val="00A925D3"/>
    <w:rsid w:val="00A9690C"/>
    <w:rsid w:val="00A9775F"/>
    <w:rsid w:val="00AA5089"/>
    <w:rsid w:val="00AC1A38"/>
    <w:rsid w:val="00AD03FA"/>
    <w:rsid w:val="00AD61C0"/>
    <w:rsid w:val="00AF731B"/>
    <w:rsid w:val="00B00A2A"/>
    <w:rsid w:val="00B07FC3"/>
    <w:rsid w:val="00B27B9D"/>
    <w:rsid w:val="00B446F9"/>
    <w:rsid w:val="00B4733B"/>
    <w:rsid w:val="00B47CBB"/>
    <w:rsid w:val="00B5351E"/>
    <w:rsid w:val="00B54720"/>
    <w:rsid w:val="00B54D88"/>
    <w:rsid w:val="00B60208"/>
    <w:rsid w:val="00B71686"/>
    <w:rsid w:val="00B73A78"/>
    <w:rsid w:val="00B75B7F"/>
    <w:rsid w:val="00B76D47"/>
    <w:rsid w:val="00B80001"/>
    <w:rsid w:val="00B84E95"/>
    <w:rsid w:val="00B90CE7"/>
    <w:rsid w:val="00BA176C"/>
    <w:rsid w:val="00BB2760"/>
    <w:rsid w:val="00BC39D8"/>
    <w:rsid w:val="00BD237C"/>
    <w:rsid w:val="00BD2400"/>
    <w:rsid w:val="00BD3299"/>
    <w:rsid w:val="00BD3B8B"/>
    <w:rsid w:val="00BE08A7"/>
    <w:rsid w:val="00BF4AE9"/>
    <w:rsid w:val="00C01A73"/>
    <w:rsid w:val="00C05553"/>
    <w:rsid w:val="00C109A9"/>
    <w:rsid w:val="00C161C5"/>
    <w:rsid w:val="00C2146E"/>
    <w:rsid w:val="00C22815"/>
    <w:rsid w:val="00C22C79"/>
    <w:rsid w:val="00C40925"/>
    <w:rsid w:val="00C540AC"/>
    <w:rsid w:val="00C543FF"/>
    <w:rsid w:val="00C55332"/>
    <w:rsid w:val="00C5680D"/>
    <w:rsid w:val="00C578DD"/>
    <w:rsid w:val="00C60C9F"/>
    <w:rsid w:val="00C71B0C"/>
    <w:rsid w:val="00C76E42"/>
    <w:rsid w:val="00C801E1"/>
    <w:rsid w:val="00C8250A"/>
    <w:rsid w:val="00C97A3B"/>
    <w:rsid w:val="00C97B86"/>
    <w:rsid w:val="00CA00D3"/>
    <w:rsid w:val="00CA2164"/>
    <w:rsid w:val="00CA3847"/>
    <w:rsid w:val="00CA4463"/>
    <w:rsid w:val="00CA7134"/>
    <w:rsid w:val="00CB13F4"/>
    <w:rsid w:val="00CB36A4"/>
    <w:rsid w:val="00CC0F30"/>
    <w:rsid w:val="00CC20DC"/>
    <w:rsid w:val="00CC2999"/>
    <w:rsid w:val="00CC614D"/>
    <w:rsid w:val="00CD115F"/>
    <w:rsid w:val="00CE1976"/>
    <w:rsid w:val="00CE32B4"/>
    <w:rsid w:val="00CE483F"/>
    <w:rsid w:val="00CE5002"/>
    <w:rsid w:val="00CE57C1"/>
    <w:rsid w:val="00CE793D"/>
    <w:rsid w:val="00CF06FD"/>
    <w:rsid w:val="00CF727E"/>
    <w:rsid w:val="00D17280"/>
    <w:rsid w:val="00D274B7"/>
    <w:rsid w:val="00D34F9D"/>
    <w:rsid w:val="00D40EE1"/>
    <w:rsid w:val="00D41177"/>
    <w:rsid w:val="00D42722"/>
    <w:rsid w:val="00D4486E"/>
    <w:rsid w:val="00D5032E"/>
    <w:rsid w:val="00D5477A"/>
    <w:rsid w:val="00D57BEC"/>
    <w:rsid w:val="00D80DA9"/>
    <w:rsid w:val="00D85874"/>
    <w:rsid w:val="00D90240"/>
    <w:rsid w:val="00D904B3"/>
    <w:rsid w:val="00D96C42"/>
    <w:rsid w:val="00DA65D8"/>
    <w:rsid w:val="00DB686C"/>
    <w:rsid w:val="00DC36E8"/>
    <w:rsid w:val="00DC56F6"/>
    <w:rsid w:val="00DC5D49"/>
    <w:rsid w:val="00DD177C"/>
    <w:rsid w:val="00DD25F7"/>
    <w:rsid w:val="00DF57A2"/>
    <w:rsid w:val="00DF66A8"/>
    <w:rsid w:val="00DF7C92"/>
    <w:rsid w:val="00E07DBC"/>
    <w:rsid w:val="00E106E6"/>
    <w:rsid w:val="00E109E5"/>
    <w:rsid w:val="00E15D5B"/>
    <w:rsid w:val="00E22911"/>
    <w:rsid w:val="00E34240"/>
    <w:rsid w:val="00E831B4"/>
    <w:rsid w:val="00E8471B"/>
    <w:rsid w:val="00E86027"/>
    <w:rsid w:val="00E919B3"/>
    <w:rsid w:val="00E927C8"/>
    <w:rsid w:val="00E940FA"/>
    <w:rsid w:val="00E946BC"/>
    <w:rsid w:val="00E949E3"/>
    <w:rsid w:val="00E96A90"/>
    <w:rsid w:val="00EB06B4"/>
    <w:rsid w:val="00EB6D79"/>
    <w:rsid w:val="00EB72EE"/>
    <w:rsid w:val="00EC58B1"/>
    <w:rsid w:val="00ED3247"/>
    <w:rsid w:val="00ED40DB"/>
    <w:rsid w:val="00EE0D30"/>
    <w:rsid w:val="00EE6413"/>
    <w:rsid w:val="00F01FEC"/>
    <w:rsid w:val="00F06D5B"/>
    <w:rsid w:val="00F104FC"/>
    <w:rsid w:val="00F10A16"/>
    <w:rsid w:val="00F123DD"/>
    <w:rsid w:val="00F1372B"/>
    <w:rsid w:val="00F206AC"/>
    <w:rsid w:val="00F22F46"/>
    <w:rsid w:val="00F316B3"/>
    <w:rsid w:val="00F34B2C"/>
    <w:rsid w:val="00F42AC0"/>
    <w:rsid w:val="00F44354"/>
    <w:rsid w:val="00F574CB"/>
    <w:rsid w:val="00F6116E"/>
    <w:rsid w:val="00F617E7"/>
    <w:rsid w:val="00F6231E"/>
    <w:rsid w:val="00F636E6"/>
    <w:rsid w:val="00F67105"/>
    <w:rsid w:val="00F74F28"/>
    <w:rsid w:val="00F754DC"/>
    <w:rsid w:val="00F815A3"/>
    <w:rsid w:val="00F8531B"/>
    <w:rsid w:val="00F854EC"/>
    <w:rsid w:val="00F86436"/>
    <w:rsid w:val="00F940BB"/>
    <w:rsid w:val="00FA2E20"/>
    <w:rsid w:val="00FA5014"/>
    <w:rsid w:val="00FA7AD0"/>
    <w:rsid w:val="00FC20CA"/>
    <w:rsid w:val="00FC79E4"/>
    <w:rsid w:val="00FD62FC"/>
    <w:rsid w:val="00FF23B7"/>
    <w:rsid w:val="00FF4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0240"/>
    <w:rPr>
      <w:sz w:val="22"/>
    </w:rPr>
  </w:style>
  <w:style w:type="paragraph" w:styleId="Heading1">
    <w:name w:val="heading 1"/>
    <w:basedOn w:val="Normal"/>
    <w:next w:val="Normal"/>
    <w:qFormat/>
    <w:rsid w:val="00D90240"/>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D90240"/>
    <w:pPr>
      <w:keepNext/>
      <w:widowControl w:val="0"/>
      <w:numPr>
        <w:ilvl w:val="1"/>
        <w:numId w:val="2"/>
      </w:numPr>
      <w:spacing w:after="220"/>
      <w:jc w:val="both"/>
      <w:outlineLvl w:val="1"/>
    </w:pPr>
    <w:rPr>
      <w:b/>
    </w:rPr>
  </w:style>
  <w:style w:type="paragraph" w:styleId="Heading3">
    <w:name w:val="heading 3"/>
    <w:basedOn w:val="Normal"/>
    <w:next w:val="Normal"/>
    <w:qFormat/>
    <w:rsid w:val="00D90240"/>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0240"/>
    <w:pPr>
      <w:tabs>
        <w:tab w:val="center" w:pos="4320"/>
        <w:tab w:val="right" w:pos="8640"/>
      </w:tabs>
    </w:pPr>
  </w:style>
  <w:style w:type="paragraph" w:styleId="Footer">
    <w:name w:val="footer"/>
    <w:basedOn w:val="Normal"/>
    <w:rsid w:val="00D90240"/>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
    <w:basedOn w:val="DefaultParagraphFont"/>
    <w:semiHidden/>
    <w:rPr>
      <w:vertAlign w:val="superscript"/>
    </w:r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1,Footnote Text Char3"/>
    <w:basedOn w:val="Normal"/>
    <w:link w:val="FootnoteTextChar"/>
    <w:semiHidden/>
    <w:rsid w:val="00D90240"/>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rPr>
      <w:color w:val="800080"/>
      <w:u w:val="single"/>
    </w:rPr>
  </w:style>
  <w:style w:type="character" w:styleId="PageNumber">
    <w:name w:val="page number"/>
    <w:basedOn w:val="DefaultParagraphFont"/>
    <w:rsid w:val="00922B3D"/>
  </w:style>
  <w:style w:type="paragraph" w:styleId="BalloonText">
    <w:name w:val="Balloon Text"/>
    <w:basedOn w:val="Normal"/>
    <w:semiHidden/>
    <w:rsid w:val="00D96C42"/>
    <w:rPr>
      <w:rFonts w:ascii="Tahoma" w:hAnsi="Tahoma" w:cs="Tahoma"/>
      <w:sz w:val="16"/>
      <w:szCs w:val="16"/>
    </w:rPr>
  </w:style>
  <w:style w:type="paragraph" w:styleId="ListParagraph">
    <w:name w:val="List Paragraph"/>
    <w:basedOn w:val="Normal"/>
    <w:uiPriority w:val="34"/>
    <w:qFormat/>
    <w:rsid w:val="00D90240"/>
    <w:pPr>
      <w:spacing w:after="200" w:line="276" w:lineRule="auto"/>
      <w:ind w:left="720"/>
      <w:contextualSpacing/>
    </w:pPr>
    <w:rPr>
      <w:rFonts w:asciiTheme="minorHAnsi" w:eastAsiaTheme="minorHAnsi" w:hAnsiTheme="minorHAnsi" w:cstheme="minorBidi"/>
      <w:szCs w:val="22"/>
    </w:rPr>
  </w:style>
  <w:style w:type="character" w:styleId="CommentReference">
    <w:name w:val="annotation reference"/>
    <w:basedOn w:val="DefaultParagraphFont"/>
    <w:rsid w:val="00E8471B"/>
    <w:rPr>
      <w:sz w:val="16"/>
      <w:szCs w:val="16"/>
    </w:rPr>
  </w:style>
  <w:style w:type="paragraph" w:styleId="CommentText">
    <w:name w:val="annotation text"/>
    <w:basedOn w:val="Normal"/>
    <w:link w:val="CommentTextChar"/>
    <w:rsid w:val="00E8471B"/>
    <w:rPr>
      <w:sz w:val="20"/>
    </w:rPr>
  </w:style>
  <w:style w:type="character" w:customStyle="1" w:styleId="CommentTextChar">
    <w:name w:val="Comment Text Char"/>
    <w:basedOn w:val="DefaultParagraphFont"/>
    <w:link w:val="CommentText"/>
    <w:rsid w:val="00E8471B"/>
  </w:style>
  <w:style w:type="paragraph" w:styleId="CommentSubject">
    <w:name w:val="annotation subject"/>
    <w:basedOn w:val="CommentText"/>
    <w:next w:val="CommentText"/>
    <w:link w:val="CommentSubjectChar"/>
    <w:rsid w:val="00E8471B"/>
    <w:rPr>
      <w:b/>
      <w:bCs/>
    </w:rPr>
  </w:style>
  <w:style w:type="character" w:customStyle="1" w:styleId="CommentSubjectChar">
    <w:name w:val="Comment Subject Char"/>
    <w:basedOn w:val="CommentTextChar"/>
    <w:link w:val="CommentSubject"/>
    <w:rsid w:val="00E8471B"/>
    <w:rPr>
      <w:b/>
      <w:bCs/>
    </w:rPr>
  </w:style>
  <w:style w:type="paragraph" w:styleId="EndnoteText">
    <w:name w:val="endnote text"/>
    <w:basedOn w:val="Normal"/>
    <w:link w:val="EndnoteTextChar"/>
    <w:rsid w:val="00975738"/>
    <w:rPr>
      <w:sz w:val="20"/>
    </w:rPr>
  </w:style>
  <w:style w:type="character" w:customStyle="1" w:styleId="EndnoteTextChar">
    <w:name w:val="Endnote Text Char"/>
    <w:basedOn w:val="DefaultParagraphFont"/>
    <w:link w:val="EndnoteText"/>
    <w:rsid w:val="00975738"/>
  </w:style>
  <w:style w:type="character" w:styleId="EndnoteReference">
    <w:name w:val="endnote reference"/>
    <w:basedOn w:val="DefaultParagraphFont"/>
    <w:rsid w:val="00975738"/>
    <w:rPr>
      <w:vertAlign w:val="superscript"/>
    </w:rPr>
  </w:style>
  <w:style w:type="character" w:customStyle="1" w:styleId="FootnoteTextChar">
    <w:name w:val="Footnote Text Char"/>
    <w:aliases w:val="Footnote Text Char5 Char,Footnote Text Char1 Char Char,Footnote Text Char3 Char Char1 Char,Footnote Text Char2 Char1 Char Char1 Char,Footnote Text Char1 Char Char Char Char Char,Footnote Text Char2 Char Char Char Char Char1 Char"/>
    <w:basedOn w:val="DefaultParagraphFont"/>
    <w:link w:val="FootnoteText"/>
    <w:semiHidden/>
    <w:rsid w:val="004C641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0240"/>
    <w:rPr>
      <w:sz w:val="22"/>
    </w:rPr>
  </w:style>
  <w:style w:type="paragraph" w:styleId="Heading1">
    <w:name w:val="heading 1"/>
    <w:basedOn w:val="Normal"/>
    <w:next w:val="Normal"/>
    <w:qFormat/>
    <w:rsid w:val="00D90240"/>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D90240"/>
    <w:pPr>
      <w:keepNext/>
      <w:widowControl w:val="0"/>
      <w:numPr>
        <w:ilvl w:val="1"/>
        <w:numId w:val="2"/>
      </w:numPr>
      <w:spacing w:after="220"/>
      <w:jc w:val="both"/>
      <w:outlineLvl w:val="1"/>
    </w:pPr>
    <w:rPr>
      <w:b/>
    </w:rPr>
  </w:style>
  <w:style w:type="paragraph" w:styleId="Heading3">
    <w:name w:val="heading 3"/>
    <w:basedOn w:val="Normal"/>
    <w:next w:val="Normal"/>
    <w:qFormat/>
    <w:rsid w:val="00D90240"/>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0240"/>
    <w:pPr>
      <w:tabs>
        <w:tab w:val="center" w:pos="4320"/>
        <w:tab w:val="right" w:pos="8640"/>
      </w:tabs>
    </w:pPr>
  </w:style>
  <w:style w:type="paragraph" w:styleId="Footer">
    <w:name w:val="footer"/>
    <w:basedOn w:val="Normal"/>
    <w:rsid w:val="00D90240"/>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
    <w:basedOn w:val="DefaultParagraphFont"/>
    <w:semiHidden/>
    <w:rPr>
      <w:vertAlign w:val="superscript"/>
    </w:r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1,Footnote Text Char3"/>
    <w:basedOn w:val="Normal"/>
    <w:link w:val="FootnoteTextChar"/>
    <w:semiHidden/>
    <w:rsid w:val="00D90240"/>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rPr>
      <w:color w:val="800080"/>
      <w:u w:val="single"/>
    </w:rPr>
  </w:style>
  <w:style w:type="character" w:styleId="PageNumber">
    <w:name w:val="page number"/>
    <w:basedOn w:val="DefaultParagraphFont"/>
    <w:rsid w:val="00922B3D"/>
  </w:style>
  <w:style w:type="paragraph" w:styleId="BalloonText">
    <w:name w:val="Balloon Text"/>
    <w:basedOn w:val="Normal"/>
    <w:semiHidden/>
    <w:rsid w:val="00D96C42"/>
    <w:rPr>
      <w:rFonts w:ascii="Tahoma" w:hAnsi="Tahoma" w:cs="Tahoma"/>
      <w:sz w:val="16"/>
      <w:szCs w:val="16"/>
    </w:rPr>
  </w:style>
  <w:style w:type="paragraph" w:styleId="ListParagraph">
    <w:name w:val="List Paragraph"/>
    <w:basedOn w:val="Normal"/>
    <w:uiPriority w:val="34"/>
    <w:qFormat/>
    <w:rsid w:val="00D90240"/>
    <w:pPr>
      <w:spacing w:after="200" w:line="276" w:lineRule="auto"/>
      <w:ind w:left="720"/>
      <w:contextualSpacing/>
    </w:pPr>
    <w:rPr>
      <w:rFonts w:asciiTheme="minorHAnsi" w:eastAsiaTheme="minorHAnsi" w:hAnsiTheme="minorHAnsi" w:cstheme="minorBidi"/>
      <w:szCs w:val="22"/>
    </w:rPr>
  </w:style>
  <w:style w:type="character" w:styleId="CommentReference">
    <w:name w:val="annotation reference"/>
    <w:basedOn w:val="DefaultParagraphFont"/>
    <w:rsid w:val="00E8471B"/>
    <w:rPr>
      <w:sz w:val="16"/>
      <w:szCs w:val="16"/>
    </w:rPr>
  </w:style>
  <w:style w:type="paragraph" w:styleId="CommentText">
    <w:name w:val="annotation text"/>
    <w:basedOn w:val="Normal"/>
    <w:link w:val="CommentTextChar"/>
    <w:rsid w:val="00E8471B"/>
    <w:rPr>
      <w:sz w:val="20"/>
    </w:rPr>
  </w:style>
  <w:style w:type="character" w:customStyle="1" w:styleId="CommentTextChar">
    <w:name w:val="Comment Text Char"/>
    <w:basedOn w:val="DefaultParagraphFont"/>
    <w:link w:val="CommentText"/>
    <w:rsid w:val="00E8471B"/>
  </w:style>
  <w:style w:type="paragraph" w:styleId="CommentSubject">
    <w:name w:val="annotation subject"/>
    <w:basedOn w:val="CommentText"/>
    <w:next w:val="CommentText"/>
    <w:link w:val="CommentSubjectChar"/>
    <w:rsid w:val="00E8471B"/>
    <w:rPr>
      <w:b/>
      <w:bCs/>
    </w:rPr>
  </w:style>
  <w:style w:type="character" w:customStyle="1" w:styleId="CommentSubjectChar">
    <w:name w:val="Comment Subject Char"/>
    <w:basedOn w:val="CommentTextChar"/>
    <w:link w:val="CommentSubject"/>
    <w:rsid w:val="00E8471B"/>
    <w:rPr>
      <w:b/>
      <w:bCs/>
    </w:rPr>
  </w:style>
  <w:style w:type="paragraph" w:styleId="EndnoteText">
    <w:name w:val="endnote text"/>
    <w:basedOn w:val="Normal"/>
    <w:link w:val="EndnoteTextChar"/>
    <w:rsid w:val="00975738"/>
    <w:rPr>
      <w:sz w:val="20"/>
    </w:rPr>
  </w:style>
  <w:style w:type="character" w:customStyle="1" w:styleId="EndnoteTextChar">
    <w:name w:val="Endnote Text Char"/>
    <w:basedOn w:val="DefaultParagraphFont"/>
    <w:link w:val="EndnoteText"/>
    <w:rsid w:val="00975738"/>
  </w:style>
  <w:style w:type="character" w:styleId="EndnoteReference">
    <w:name w:val="endnote reference"/>
    <w:basedOn w:val="DefaultParagraphFont"/>
    <w:rsid w:val="00975738"/>
    <w:rPr>
      <w:vertAlign w:val="superscript"/>
    </w:rPr>
  </w:style>
  <w:style w:type="character" w:customStyle="1" w:styleId="FootnoteTextChar">
    <w:name w:val="Footnote Text Char"/>
    <w:aliases w:val="Footnote Text Char5 Char,Footnote Text Char1 Char Char,Footnote Text Char3 Char Char1 Char,Footnote Text Char2 Char1 Char Char1 Char,Footnote Text Char1 Char Char Char Char Char,Footnote Text Char2 Char Char Char Char Char1 Char"/>
    <w:basedOn w:val="DefaultParagraphFont"/>
    <w:link w:val="FootnoteText"/>
    <w:semiHidden/>
    <w:rsid w:val="004C641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06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3845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4528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2007-04-09T14:30:00Z</cp:lastPrinted>
  <dcterms:created xsi:type="dcterms:W3CDTF">2013-03-18T13:21:00Z</dcterms:created>
  <dcterms:modified xsi:type="dcterms:W3CDTF">2013-03-18T13:21:00Z</dcterms:modified>
  <cp:category> </cp:category>
  <cp:contentStatus> </cp:contentStatus>
</cp:coreProperties>
</file>