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EE" w:rsidRDefault="00340DEE" w:rsidP="001C7BAF">
      <w:pPr>
        <w:widowControl/>
        <w:jc w:val="left"/>
        <w:rPr>
          <w:b/>
          <w:szCs w:val="22"/>
        </w:rPr>
      </w:pPr>
      <w:bookmarkStart w:id="0" w:name="_GoBack"/>
      <w:bookmarkEnd w:id="0"/>
    </w:p>
    <w:p w:rsidR="00CC5A64" w:rsidRPr="004E1381" w:rsidRDefault="00CC5A64" w:rsidP="001C7BAF">
      <w:pPr>
        <w:widowControl/>
        <w:jc w:val="left"/>
        <w:rPr>
          <w:b/>
          <w:szCs w:val="22"/>
        </w:rPr>
      </w:pPr>
    </w:p>
    <w:p w:rsidR="00340DEE" w:rsidRPr="004E1381" w:rsidRDefault="00340DEE" w:rsidP="001C7BAF">
      <w:pPr>
        <w:widowControl/>
        <w:jc w:val="center"/>
        <w:rPr>
          <w:b/>
          <w:szCs w:val="22"/>
        </w:rPr>
      </w:pPr>
      <w:r w:rsidRPr="004E1381">
        <w:rPr>
          <w:b/>
          <w:szCs w:val="22"/>
        </w:rPr>
        <w:t>Before the</w:t>
      </w:r>
    </w:p>
    <w:p w:rsidR="00340DEE" w:rsidRPr="004E1381" w:rsidRDefault="00340DEE" w:rsidP="001C7BAF">
      <w:pPr>
        <w:widowControl/>
        <w:jc w:val="center"/>
        <w:rPr>
          <w:b/>
          <w:szCs w:val="22"/>
        </w:rPr>
      </w:pPr>
      <w:r w:rsidRPr="004E1381">
        <w:rPr>
          <w:b/>
          <w:szCs w:val="22"/>
        </w:rPr>
        <w:t>Federal Communications Commission</w:t>
      </w:r>
    </w:p>
    <w:p w:rsidR="00340DEE" w:rsidRPr="004E1381" w:rsidRDefault="00340DEE" w:rsidP="001C7BAF">
      <w:pPr>
        <w:widowControl/>
        <w:jc w:val="center"/>
        <w:rPr>
          <w:b/>
          <w:szCs w:val="22"/>
        </w:rPr>
      </w:pPr>
      <w:smartTag w:uri="urn:schemas-microsoft-com:office:smarttags" w:element="place">
        <w:smartTag w:uri="urn:schemas-microsoft-com:office:smarttags" w:element="City">
          <w:r w:rsidRPr="004E1381">
            <w:rPr>
              <w:b/>
              <w:szCs w:val="22"/>
            </w:rPr>
            <w:t>Washington</w:t>
          </w:r>
        </w:smartTag>
        <w:r w:rsidRPr="004E1381">
          <w:rPr>
            <w:b/>
            <w:szCs w:val="22"/>
          </w:rPr>
          <w:t xml:space="preserve">, </w:t>
        </w:r>
        <w:smartTag w:uri="urn:schemas-microsoft-com:office:smarttags" w:element="State">
          <w:r w:rsidRPr="004E1381">
            <w:rPr>
              <w:b/>
              <w:szCs w:val="22"/>
            </w:rPr>
            <w:t>D.C.</w:t>
          </w:r>
        </w:smartTag>
      </w:smartTag>
      <w:r w:rsidRPr="004E1381">
        <w:rPr>
          <w:b/>
          <w:szCs w:val="22"/>
        </w:rPr>
        <w:t xml:space="preserve">  20554</w:t>
      </w:r>
    </w:p>
    <w:p w:rsidR="00340DEE" w:rsidRPr="004E1381" w:rsidRDefault="00340DEE" w:rsidP="001C7BAF">
      <w:pPr>
        <w:widowControl/>
        <w:jc w:val="left"/>
        <w:rPr>
          <w:b/>
          <w:szCs w:val="22"/>
        </w:rPr>
      </w:pPr>
    </w:p>
    <w:p w:rsidR="00340DEE" w:rsidRPr="004E1381" w:rsidRDefault="00340DEE" w:rsidP="001C7BAF">
      <w:pPr>
        <w:widowControl/>
        <w:jc w:val="left"/>
        <w:rPr>
          <w:b/>
          <w:szCs w:val="22"/>
        </w:rPr>
      </w:pPr>
    </w:p>
    <w:tbl>
      <w:tblPr>
        <w:tblW w:w="0" w:type="auto"/>
        <w:tblLayout w:type="fixed"/>
        <w:tblLook w:val="0000" w:firstRow="0" w:lastRow="0" w:firstColumn="0" w:lastColumn="0" w:noHBand="0" w:noVBand="0"/>
      </w:tblPr>
      <w:tblGrid>
        <w:gridCol w:w="4698"/>
        <w:gridCol w:w="630"/>
        <w:gridCol w:w="4248"/>
      </w:tblGrid>
      <w:tr w:rsidR="00340DEE" w:rsidRPr="004E1381">
        <w:tc>
          <w:tcPr>
            <w:tcW w:w="4698" w:type="dxa"/>
          </w:tcPr>
          <w:p w:rsidR="00340DEE" w:rsidRPr="004E1381" w:rsidRDefault="00340DEE" w:rsidP="001C7BAF">
            <w:pPr>
              <w:widowControl/>
              <w:tabs>
                <w:tab w:val="center" w:pos="4680"/>
              </w:tabs>
              <w:suppressAutoHyphens/>
              <w:jc w:val="left"/>
              <w:rPr>
                <w:spacing w:val="-2"/>
                <w:szCs w:val="22"/>
              </w:rPr>
            </w:pPr>
            <w:r w:rsidRPr="004E1381">
              <w:rPr>
                <w:spacing w:val="-2"/>
                <w:szCs w:val="22"/>
              </w:rPr>
              <w:t>In the Matter of</w:t>
            </w:r>
          </w:p>
          <w:p w:rsidR="00340DEE" w:rsidRPr="004E1381" w:rsidRDefault="00340DEE" w:rsidP="001C7BAF">
            <w:pPr>
              <w:widowControl/>
              <w:tabs>
                <w:tab w:val="center" w:pos="4680"/>
              </w:tabs>
              <w:suppressAutoHyphens/>
              <w:jc w:val="left"/>
              <w:rPr>
                <w:spacing w:val="-2"/>
                <w:szCs w:val="22"/>
              </w:rPr>
            </w:pPr>
          </w:p>
          <w:p w:rsidR="00340DEE" w:rsidRPr="004E1381" w:rsidRDefault="00340DEE" w:rsidP="001C7BAF">
            <w:pPr>
              <w:widowControl/>
              <w:ind w:right="-18"/>
              <w:jc w:val="left"/>
              <w:rPr>
                <w:szCs w:val="22"/>
              </w:rPr>
            </w:pPr>
            <w:bookmarkStart w:id="1" w:name="OLE_LINK15"/>
            <w:bookmarkStart w:id="2" w:name="OLE_LINK16"/>
            <w:r w:rsidRPr="004E1381">
              <w:rPr>
                <w:szCs w:val="22"/>
              </w:rPr>
              <w:t>Qwest Communications Company, LLC,</w:t>
            </w:r>
          </w:p>
          <w:p w:rsidR="00340DEE" w:rsidRPr="004E1381" w:rsidRDefault="00340DEE" w:rsidP="001C7BAF">
            <w:pPr>
              <w:widowControl/>
              <w:tabs>
                <w:tab w:val="center" w:pos="4680"/>
              </w:tabs>
              <w:suppressAutoHyphens/>
              <w:jc w:val="left"/>
              <w:rPr>
                <w:spacing w:val="-2"/>
                <w:szCs w:val="22"/>
              </w:rPr>
            </w:pPr>
          </w:p>
          <w:p w:rsidR="00340DEE" w:rsidRPr="004E1381" w:rsidRDefault="00340DEE" w:rsidP="001C7BAF">
            <w:pPr>
              <w:widowControl/>
              <w:tabs>
                <w:tab w:val="center" w:pos="4680"/>
              </w:tabs>
              <w:suppressAutoHyphens/>
              <w:jc w:val="left"/>
              <w:rPr>
                <w:spacing w:val="-2"/>
                <w:szCs w:val="22"/>
              </w:rPr>
            </w:pPr>
            <w:r w:rsidRPr="004E1381">
              <w:rPr>
                <w:spacing w:val="-2"/>
                <w:szCs w:val="22"/>
              </w:rPr>
              <w:t xml:space="preserve">      Complainant,</w:t>
            </w:r>
          </w:p>
          <w:p w:rsidR="00340DEE" w:rsidRPr="004E1381" w:rsidRDefault="00340DEE" w:rsidP="001C7BAF">
            <w:pPr>
              <w:widowControl/>
              <w:jc w:val="left"/>
              <w:rPr>
                <w:szCs w:val="22"/>
              </w:rPr>
            </w:pPr>
          </w:p>
          <w:p w:rsidR="00340DEE" w:rsidRPr="004E1381" w:rsidRDefault="00340DEE" w:rsidP="001C7BAF">
            <w:pPr>
              <w:widowControl/>
              <w:jc w:val="left"/>
              <w:rPr>
                <w:szCs w:val="22"/>
              </w:rPr>
            </w:pPr>
            <w:r w:rsidRPr="004E1381">
              <w:rPr>
                <w:szCs w:val="22"/>
              </w:rPr>
              <w:t xml:space="preserve">                v.</w:t>
            </w:r>
          </w:p>
          <w:p w:rsidR="00340DEE" w:rsidRPr="004E1381" w:rsidRDefault="00340DEE" w:rsidP="001C7BAF">
            <w:pPr>
              <w:widowControl/>
              <w:jc w:val="left"/>
              <w:rPr>
                <w:szCs w:val="22"/>
              </w:rPr>
            </w:pPr>
          </w:p>
          <w:p w:rsidR="00340DEE" w:rsidRPr="004E1381" w:rsidRDefault="0034720D" w:rsidP="001C7BAF">
            <w:pPr>
              <w:widowControl/>
              <w:jc w:val="left"/>
              <w:rPr>
                <w:szCs w:val="22"/>
              </w:rPr>
            </w:pPr>
            <w:r>
              <w:rPr>
                <w:szCs w:val="22"/>
              </w:rPr>
              <w:t>Sancom, Inc.,</w:t>
            </w:r>
          </w:p>
          <w:bookmarkEnd w:id="1"/>
          <w:bookmarkEnd w:id="2"/>
          <w:p w:rsidR="00340DEE" w:rsidRPr="004E1381" w:rsidRDefault="00340DEE" w:rsidP="001C7BAF">
            <w:pPr>
              <w:widowControl/>
              <w:jc w:val="left"/>
              <w:rPr>
                <w:szCs w:val="22"/>
              </w:rPr>
            </w:pPr>
          </w:p>
          <w:p w:rsidR="00340DEE" w:rsidRPr="004E1381" w:rsidRDefault="00340DEE" w:rsidP="001C7BAF">
            <w:pPr>
              <w:widowControl/>
              <w:jc w:val="left"/>
              <w:rPr>
                <w:szCs w:val="22"/>
              </w:rPr>
            </w:pPr>
            <w:r w:rsidRPr="004E1381">
              <w:rPr>
                <w:szCs w:val="22"/>
              </w:rPr>
              <w:t xml:space="preserve">       Defendant.</w:t>
            </w:r>
          </w:p>
        </w:tc>
        <w:tc>
          <w:tcPr>
            <w:tcW w:w="630" w:type="dxa"/>
          </w:tcPr>
          <w:p w:rsidR="00340DEE" w:rsidRPr="004E1381" w:rsidRDefault="00340DEE" w:rsidP="001C7BAF">
            <w:pPr>
              <w:widowControl/>
              <w:tabs>
                <w:tab w:val="center" w:pos="4680"/>
              </w:tabs>
              <w:suppressAutoHyphens/>
              <w:jc w:val="left"/>
              <w:rPr>
                <w:b/>
                <w:spacing w:val="-2"/>
                <w:szCs w:val="22"/>
              </w:rPr>
            </w:pPr>
            <w:r w:rsidRPr="004E1381">
              <w:rPr>
                <w:b/>
                <w:spacing w:val="-2"/>
                <w:szCs w:val="22"/>
              </w:rPr>
              <w:t>)</w:t>
            </w:r>
          </w:p>
          <w:p w:rsidR="00340DEE" w:rsidRPr="004E1381" w:rsidRDefault="00340DEE" w:rsidP="001C7BAF">
            <w:pPr>
              <w:widowControl/>
              <w:tabs>
                <w:tab w:val="center" w:pos="4680"/>
              </w:tabs>
              <w:suppressAutoHyphens/>
              <w:jc w:val="left"/>
              <w:rPr>
                <w:b/>
                <w:spacing w:val="-2"/>
                <w:szCs w:val="22"/>
              </w:rPr>
            </w:pPr>
            <w:r w:rsidRPr="004E1381">
              <w:rPr>
                <w:b/>
                <w:spacing w:val="-2"/>
                <w:szCs w:val="22"/>
              </w:rPr>
              <w:t>)</w:t>
            </w:r>
          </w:p>
          <w:p w:rsidR="00340DEE" w:rsidRPr="004E1381" w:rsidRDefault="00340DEE" w:rsidP="001C7BAF">
            <w:pPr>
              <w:widowControl/>
              <w:tabs>
                <w:tab w:val="center" w:pos="4680"/>
              </w:tabs>
              <w:suppressAutoHyphens/>
              <w:jc w:val="left"/>
              <w:rPr>
                <w:b/>
                <w:spacing w:val="-2"/>
                <w:szCs w:val="22"/>
              </w:rPr>
            </w:pPr>
            <w:r w:rsidRPr="004E1381">
              <w:rPr>
                <w:b/>
                <w:spacing w:val="-2"/>
                <w:szCs w:val="22"/>
              </w:rPr>
              <w:t>)</w:t>
            </w:r>
          </w:p>
          <w:p w:rsidR="00340DEE" w:rsidRPr="004E1381" w:rsidRDefault="00340DEE" w:rsidP="001C7BAF">
            <w:pPr>
              <w:widowControl/>
              <w:tabs>
                <w:tab w:val="center" w:pos="4680"/>
              </w:tabs>
              <w:suppressAutoHyphens/>
              <w:jc w:val="left"/>
              <w:rPr>
                <w:b/>
                <w:spacing w:val="-2"/>
                <w:szCs w:val="22"/>
              </w:rPr>
            </w:pPr>
            <w:r w:rsidRPr="004E1381">
              <w:rPr>
                <w:b/>
                <w:spacing w:val="-2"/>
                <w:szCs w:val="22"/>
              </w:rPr>
              <w:t>)</w:t>
            </w:r>
          </w:p>
          <w:p w:rsidR="00340DEE" w:rsidRPr="004E1381" w:rsidRDefault="00340DEE" w:rsidP="001C7BAF">
            <w:pPr>
              <w:widowControl/>
              <w:tabs>
                <w:tab w:val="center" w:pos="4680"/>
              </w:tabs>
              <w:suppressAutoHyphens/>
              <w:jc w:val="left"/>
              <w:rPr>
                <w:b/>
                <w:spacing w:val="-2"/>
                <w:szCs w:val="22"/>
              </w:rPr>
            </w:pPr>
            <w:r w:rsidRPr="004E1381">
              <w:rPr>
                <w:b/>
                <w:spacing w:val="-2"/>
                <w:szCs w:val="22"/>
              </w:rPr>
              <w:t>)</w:t>
            </w:r>
          </w:p>
          <w:p w:rsidR="00340DEE" w:rsidRPr="004E1381" w:rsidRDefault="00340DEE" w:rsidP="001C7BAF">
            <w:pPr>
              <w:widowControl/>
              <w:tabs>
                <w:tab w:val="center" w:pos="4680"/>
              </w:tabs>
              <w:suppressAutoHyphens/>
              <w:jc w:val="left"/>
              <w:rPr>
                <w:b/>
                <w:spacing w:val="-2"/>
                <w:szCs w:val="22"/>
              </w:rPr>
            </w:pPr>
            <w:r w:rsidRPr="004E1381">
              <w:rPr>
                <w:b/>
                <w:spacing w:val="-2"/>
                <w:szCs w:val="22"/>
              </w:rPr>
              <w:t>)</w:t>
            </w:r>
          </w:p>
          <w:p w:rsidR="00340DEE" w:rsidRPr="004E1381" w:rsidRDefault="00340DEE" w:rsidP="001C7BAF">
            <w:pPr>
              <w:widowControl/>
              <w:tabs>
                <w:tab w:val="center" w:pos="4680"/>
              </w:tabs>
              <w:suppressAutoHyphens/>
              <w:jc w:val="left"/>
              <w:rPr>
                <w:b/>
                <w:spacing w:val="-2"/>
                <w:szCs w:val="22"/>
              </w:rPr>
            </w:pPr>
            <w:r w:rsidRPr="004E1381">
              <w:rPr>
                <w:b/>
                <w:spacing w:val="-2"/>
                <w:szCs w:val="22"/>
              </w:rPr>
              <w:t>)</w:t>
            </w:r>
          </w:p>
          <w:p w:rsidR="00340DEE" w:rsidRPr="004E1381" w:rsidRDefault="00340DEE" w:rsidP="001C7BAF">
            <w:pPr>
              <w:widowControl/>
              <w:tabs>
                <w:tab w:val="center" w:pos="4680"/>
              </w:tabs>
              <w:suppressAutoHyphens/>
              <w:jc w:val="left"/>
              <w:rPr>
                <w:b/>
                <w:spacing w:val="-2"/>
                <w:szCs w:val="22"/>
              </w:rPr>
            </w:pPr>
            <w:r w:rsidRPr="004E1381">
              <w:rPr>
                <w:b/>
                <w:spacing w:val="-2"/>
                <w:szCs w:val="22"/>
              </w:rPr>
              <w:t>)</w:t>
            </w:r>
          </w:p>
          <w:p w:rsidR="00340DEE" w:rsidRPr="004E1381" w:rsidRDefault="00340DEE" w:rsidP="001C7BAF">
            <w:pPr>
              <w:widowControl/>
              <w:tabs>
                <w:tab w:val="center" w:pos="4680"/>
              </w:tabs>
              <w:suppressAutoHyphens/>
              <w:jc w:val="left"/>
              <w:rPr>
                <w:b/>
                <w:spacing w:val="-2"/>
                <w:szCs w:val="22"/>
              </w:rPr>
            </w:pPr>
            <w:r w:rsidRPr="004E1381">
              <w:rPr>
                <w:b/>
                <w:spacing w:val="-2"/>
                <w:szCs w:val="22"/>
              </w:rPr>
              <w:t>)</w:t>
            </w:r>
          </w:p>
          <w:p w:rsidR="00340DEE" w:rsidRPr="004E1381" w:rsidRDefault="00340DEE" w:rsidP="001C7BAF">
            <w:pPr>
              <w:widowControl/>
              <w:tabs>
                <w:tab w:val="center" w:pos="4680"/>
              </w:tabs>
              <w:suppressAutoHyphens/>
              <w:jc w:val="left"/>
              <w:rPr>
                <w:b/>
                <w:spacing w:val="-2"/>
                <w:szCs w:val="22"/>
              </w:rPr>
            </w:pPr>
            <w:r w:rsidRPr="004E1381">
              <w:rPr>
                <w:b/>
                <w:spacing w:val="-2"/>
                <w:szCs w:val="22"/>
              </w:rPr>
              <w:t>)</w:t>
            </w:r>
          </w:p>
          <w:p w:rsidR="00340DEE" w:rsidRPr="004E1381" w:rsidRDefault="00340DEE" w:rsidP="001C7BAF">
            <w:pPr>
              <w:widowControl/>
              <w:tabs>
                <w:tab w:val="center" w:pos="4680"/>
              </w:tabs>
              <w:suppressAutoHyphens/>
              <w:jc w:val="left"/>
              <w:rPr>
                <w:b/>
                <w:spacing w:val="-2"/>
                <w:szCs w:val="22"/>
              </w:rPr>
            </w:pPr>
            <w:r w:rsidRPr="004E1381">
              <w:rPr>
                <w:b/>
                <w:spacing w:val="-2"/>
                <w:szCs w:val="22"/>
              </w:rPr>
              <w:t>)</w:t>
            </w:r>
          </w:p>
        </w:tc>
        <w:tc>
          <w:tcPr>
            <w:tcW w:w="4248" w:type="dxa"/>
          </w:tcPr>
          <w:p w:rsidR="00340DEE" w:rsidRPr="004E1381" w:rsidRDefault="00340DEE" w:rsidP="001C7BAF">
            <w:pPr>
              <w:widowControl/>
              <w:tabs>
                <w:tab w:val="center" w:pos="4680"/>
              </w:tabs>
              <w:suppressAutoHyphens/>
              <w:jc w:val="left"/>
              <w:rPr>
                <w:spacing w:val="-2"/>
                <w:szCs w:val="22"/>
              </w:rPr>
            </w:pPr>
          </w:p>
          <w:p w:rsidR="00340DEE" w:rsidRPr="004E1381" w:rsidRDefault="00340DEE" w:rsidP="001C7BAF">
            <w:pPr>
              <w:widowControl/>
              <w:tabs>
                <w:tab w:val="center" w:pos="4680"/>
              </w:tabs>
              <w:suppressAutoHyphens/>
              <w:jc w:val="left"/>
              <w:rPr>
                <w:spacing w:val="-2"/>
                <w:szCs w:val="22"/>
              </w:rPr>
            </w:pPr>
          </w:p>
          <w:p w:rsidR="00340DEE" w:rsidRPr="004E1381" w:rsidRDefault="00340DEE" w:rsidP="001C7BAF">
            <w:pPr>
              <w:widowControl/>
              <w:tabs>
                <w:tab w:val="center" w:pos="4680"/>
              </w:tabs>
              <w:suppressAutoHyphens/>
              <w:jc w:val="left"/>
              <w:rPr>
                <w:spacing w:val="-2"/>
                <w:szCs w:val="22"/>
              </w:rPr>
            </w:pPr>
          </w:p>
          <w:p w:rsidR="00340DEE" w:rsidRPr="004E1381" w:rsidRDefault="00340DEE" w:rsidP="001C7BAF">
            <w:pPr>
              <w:widowControl/>
              <w:tabs>
                <w:tab w:val="center" w:pos="4680"/>
              </w:tabs>
              <w:suppressAutoHyphens/>
              <w:jc w:val="left"/>
              <w:rPr>
                <w:spacing w:val="-2"/>
                <w:szCs w:val="22"/>
              </w:rPr>
            </w:pPr>
          </w:p>
          <w:p w:rsidR="00340DEE" w:rsidRPr="004E1381" w:rsidRDefault="00340DEE" w:rsidP="001C7BAF">
            <w:pPr>
              <w:widowControl/>
              <w:tabs>
                <w:tab w:val="center" w:pos="4680"/>
              </w:tabs>
              <w:suppressAutoHyphens/>
              <w:jc w:val="left"/>
              <w:rPr>
                <w:spacing w:val="-2"/>
                <w:szCs w:val="22"/>
              </w:rPr>
            </w:pPr>
          </w:p>
          <w:p w:rsidR="00340DEE" w:rsidRPr="004E1381" w:rsidRDefault="00340DEE" w:rsidP="001C7BAF">
            <w:pPr>
              <w:widowControl/>
              <w:tabs>
                <w:tab w:val="center" w:pos="4680"/>
              </w:tabs>
              <w:suppressAutoHyphens/>
              <w:jc w:val="left"/>
              <w:rPr>
                <w:spacing w:val="-2"/>
                <w:szCs w:val="22"/>
              </w:rPr>
            </w:pPr>
            <w:r>
              <w:rPr>
                <w:spacing w:val="-2"/>
                <w:szCs w:val="22"/>
              </w:rPr>
              <w:t>File No</w:t>
            </w:r>
            <w:r w:rsidR="00AC1D04">
              <w:rPr>
                <w:spacing w:val="-2"/>
                <w:szCs w:val="22"/>
              </w:rPr>
              <w:t>.:</w:t>
            </w:r>
            <w:r>
              <w:rPr>
                <w:spacing w:val="-2"/>
                <w:szCs w:val="22"/>
              </w:rPr>
              <w:t xml:space="preserve"> EB-10</w:t>
            </w:r>
            <w:r w:rsidRPr="004E1381">
              <w:rPr>
                <w:spacing w:val="-2"/>
                <w:szCs w:val="22"/>
              </w:rPr>
              <w:t>-MD-004</w:t>
            </w:r>
          </w:p>
        </w:tc>
      </w:tr>
    </w:tbl>
    <w:p w:rsidR="00340DEE" w:rsidRPr="004E1381" w:rsidRDefault="00340DEE" w:rsidP="001C7BAF">
      <w:pPr>
        <w:widowControl/>
        <w:tabs>
          <w:tab w:val="left" w:pos="-720"/>
        </w:tabs>
        <w:suppressAutoHyphens/>
        <w:spacing w:line="227" w:lineRule="auto"/>
        <w:jc w:val="left"/>
        <w:rPr>
          <w:spacing w:val="-2"/>
          <w:szCs w:val="22"/>
        </w:rPr>
      </w:pPr>
    </w:p>
    <w:p w:rsidR="003461ED" w:rsidRDefault="003461ED" w:rsidP="001C7BAF">
      <w:pPr>
        <w:widowControl/>
        <w:rPr>
          <w:spacing w:val="-2"/>
          <w:szCs w:val="22"/>
        </w:rPr>
      </w:pPr>
    </w:p>
    <w:p w:rsidR="00340DEE" w:rsidRDefault="00340DEE" w:rsidP="001C7BAF">
      <w:pPr>
        <w:widowControl/>
        <w:jc w:val="center"/>
        <w:rPr>
          <w:b/>
          <w:szCs w:val="22"/>
        </w:rPr>
      </w:pPr>
      <w:r w:rsidRPr="004E1381">
        <w:rPr>
          <w:b/>
          <w:szCs w:val="22"/>
        </w:rPr>
        <w:t>MEMORANDUM OPINION AND ORDER</w:t>
      </w:r>
    </w:p>
    <w:p w:rsidR="003461ED" w:rsidRPr="004E1381" w:rsidRDefault="003461ED" w:rsidP="001C7BAF">
      <w:pPr>
        <w:widowControl/>
        <w:jc w:val="center"/>
        <w:rPr>
          <w:spacing w:val="-2"/>
          <w:szCs w:val="22"/>
        </w:rPr>
      </w:pPr>
    </w:p>
    <w:p w:rsidR="00340DEE" w:rsidRPr="004E1381" w:rsidRDefault="00340DEE" w:rsidP="001C7BAF">
      <w:pPr>
        <w:widowControl/>
        <w:tabs>
          <w:tab w:val="left" w:pos="-720"/>
        </w:tabs>
        <w:suppressAutoHyphens/>
        <w:spacing w:line="227" w:lineRule="auto"/>
        <w:jc w:val="left"/>
        <w:rPr>
          <w:spacing w:val="-2"/>
          <w:szCs w:val="22"/>
        </w:rPr>
      </w:pPr>
    </w:p>
    <w:p w:rsidR="00340DEE" w:rsidRPr="004E1381" w:rsidRDefault="0027227C" w:rsidP="001C7BAF">
      <w:pPr>
        <w:widowControl/>
        <w:tabs>
          <w:tab w:val="right" w:pos="9360"/>
        </w:tabs>
        <w:suppressAutoHyphens/>
        <w:spacing w:line="227" w:lineRule="auto"/>
        <w:jc w:val="left"/>
        <w:rPr>
          <w:b/>
          <w:spacing w:val="-2"/>
          <w:szCs w:val="22"/>
        </w:rPr>
      </w:pPr>
      <w:r>
        <w:rPr>
          <w:b/>
          <w:spacing w:val="-2"/>
          <w:szCs w:val="22"/>
        </w:rPr>
        <w:t xml:space="preserve">Adopted:  </w:t>
      </w:r>
      <w:r w:rsidR="005823AB">
        <w:rPr>
          <w:b/>
          <w:spacing w:val="-2"/>
          <w:szCs w:val="22"/>
        </w:rPr>
        <w:t xml:space="preserve">March </w:t>
      </w:r>
      <w:r w:rsidR="00557E84">
        <w:rPr>
          <w:b/>
          <w:spacing w:val="-2"/>
          <w:szCs w:val="22"/>
        </w:rPr>
        <w:t>5</w:t>
      </w:r>
      <w:r w:rsidR="005823AB">
        <w:rPr>
          <w:b/>
          <w:spacing w:val="-2"/>
          <w:szCs w:val="22"/>
        </w:rPr>
        <w:t>, 2013</w:t>
      </w:r>
      <w:r w:rsidR="00340DEE" w:rsidRPr="004E1381">
        <w:rPr>
          <w:b/>
          <w:spacing w:val="-2"/>
          <w:szCs w:val="22"/>
        </w:rPr>
        <w:tab/>
        <w:t xml:space="preserve">       </w:t>
      </w:r>
      <w:r w:rsidR="001F5115">
        <w:rPr>
          <w:b/>
          <w:spacing w:val="-2"/>
          <w:szCs w:val="22"/>
        </w:rPr>
        <w:t xml:space="preserve">   </w:t>
      </w:r>
      <w:r>
        <w:rPr>
          <w:b/>
          <w:spacing w:val="-2"/>
          <w:szCs w:val="22"/>
        </w:rPr>
        <w:t xml:space="preserve">               Released:  </w:t>
      </w:r>
      <w:r w:rsidR="005823AB">
        <w:rPr>
          <w:b/>
          <w:spacing w:val="-2"/>
          <w:szCs w:val="22"/>
        </w:rPr>
        <w:t xml:space="preserve">March </w:t>
      </w:r>
      <w:r w:rsidR="00557E84">
        <w:rPr>
          <w:b/>
          <w:spacing w:val="-2"/>
          <w:szCs w:val="22"/>
        </w:rPr>
        <w:t>5</w:t>
      </w:r>
      <w:r w:rsidR="005823AB">
        <w:rPr>
          <w:b/>
          <w:spacing w:val="-2"/>
          <w:szCs w:val="22"/>
        </w:rPr>
        <w:t>, 2013</w:t>
      </w:r>
    </w:p>
    <w:p w:rsidR="00340DEE" w:rsidRPr="001A51EB" w:rsidRDefault="00340DEE" w:rsidP="001C7BAF">
      <w:pPr>
        <w:widowControl/>
        <w:tabs>
          <w:tab w:val="left" w:pos="720"/>
          <w:tab w:val="left" w:pos="5760"/>
        </w:tabs>
        <w:suppressAutoHyphens/>
        <w:spacing w:line="227" w:lineRule="auto"/>
        <w:jc w:val="left"/>
        <w:rPr>
          <w:spacing w:val="-2"/>
          <w:szCs w:val="22"/>
        </w:rPr>
      </w:pPr>
    </w:p>
    <w:p w:rsidR="00340DEE" w:rsidRPr="00914FB9" w:rsidRDefault="00242DD8" w:rsidP="001C7BAF">
      <w:pPr>
        <w:pStyle w:val="ParaNum"/>
        <w:widowControl/>
        <w:numPr>
          <w:ilvl w:val="0"/>
          <w:numId w:val="0"/>
        </w:numPr>
        <w:jc w:val="left"/>
        <w:rPr>
          <w:szCs w:val="22"/>
        </w:rPr>
      </w:pPr>
      <w:r>
        <w:rPr>
          <w:bCs/>
          <w:snapToGrid/>
          <w:color w:val="010101"/>
          <w:kern w:val="0"/>
          <w:szCs w:val="22"/>
        </w:rPr>
        <w:t>By the Chief</w:t>
      </w:r>
      <w:r w:rsidR="001A51EB" w:rsidRPr="00914FB9">
        <w:rPr>
          <w:bCs/>
          <w:snapToGrid/>
          <w:color w:val="010101"/>
          <w:kern w:val="0"/>
          <w:szCs w:val="22"/>
        </w:rPr>
        <w:t>, Enforcement Bureau:</w:t>
      </w:r>
    </w:p>
    <w:p w:rsidR="00340DEE" w:rsidRPr="009C3954" w:rsidRDefault="00340DEE" w:rsidP="001C7BAF">
      <w:pPr>
        <w:pStyle w:val="Heading1"/>
        <w:widowControl/>
        <w:jc w:val="left"/>
        <w:rPr>
          <w:szCs w:val="22"/>
        </w:rPr>
      </w:pPr>
      <w:bookmarkStart w:id="3" w:name="_Ref291749557"/>
      <w:r w:rsidRPr="009C3954">
        <w:rPr>
          <w:szCs w:val="22"/>
        </w:rPr>
        <w:t>INTRODUCTION</w:t>
      </w:r>
      <w:bookmarkEnd w:id="3"/>
    </w:p>
    <w:p w:rsidR="00340DEE" w:rsidRPr="009C3954" w:rsidRDefault="00340DEE" w:rsidP="00E856EA">
      <w:pPr>
        <w:pStyle w:val="ParaNum"/>
        <w:widowControl/>
        <w:tabs>
          <w:tab w:val="clear" w:pos="1260"/>
        </w:tabs>
        <w:ind w:left="0"/>
        <w:jc w:val="left"/>
        <w:rPr>
          <w:szCs w:val="22"/>
        </w:rPr>
      </w:pPr>
      <w:r w:rsidRPr="009C3954">
        <w:rPr>
          <w:szCs w:val="22"/>
        </w:rPr>
        <w:t>This Memorandum Opinion and Order grants a formal complaint</w:t>
      </w:r>
      <w:r w:rsidRPr="009C3954">
        <w:rPr>
          <w:rStyle w:val="FootnoteReference"/>
          <w:sz w:val="22"/>
          <w:szCs w:val="22"/>
        </w:rPr>
        <w:footnoteReference w:id="2"/>
      </w:r>
      <w:r w:rsidRPr="009C3954">
        <w:rPr>
          <w:szCs w:val="22"/>
        </w:rPr>
        <w:t xml:space="preserve"> filed by Qwes</w:t>
      </w:r>
      <w:r w:rsidR="002643FA">
        <w:rPr>
          <w:szCs w:val="22"/>
        </w:rPr>
        <w:t>t Communications Company, LLC (Qwest</w:t>
      </w:r>
      <w:r w:rsidRPr="009C3954">
        <w:rPr>
          <w:szCs w:val="22"/>
        </w:rPr>
        <w:t xml:space="preserve">) </w:t>
      </w:r>
      <w:r w:rsidR="002643FA">
        <w:rPr>
          <w:szCs w:val="22"/>
        </w:rPr>
        <w:t>against Sancom, Inc. (Sancom</w:t>
      </w:r>
      <w:r w:rsidRPr="009C3954">
        <w:rPr>
          <w:szCs w:val="22"/>
        </w:rPr>
        <w:t>) under section 208 of the Communica</w:t>
      </w:r>
      <w:r w:rsidR="002643FA">
        <w:rPr>
          <w:szCs w:val="22"/>
        </w:rPr>
        <w:t>tions Act of 1934, as amended (Act</w:t>
      </w:r>
      <w:r w:rsidRPr="009C3954">
        <w:rPr>
          <w:szCs w:val="22"/>
        </w:rPr>
        <w:t>).</w:t>
      </w:r>
      <w:r w:rsidRPr="009C3954">
        <w:rPr>
          <w:rStyle w:val="FootnoteReference"/>
          <w:sz w:val="22"/>
          <w:szCs w:val="22"/>
        </w:rPr>
        <w:footnoteReference w:id="3"/>
      </w:r>
      <w:r w:rsidRPr="009C3954">
        <w:rPr>
          <w:szCs w:val="22"/>
        </w:rPr>
        <w:t xml:space="preserve">  The Complaint </w:t>
      </w:r>
      <w:r w:rsidR="00A37A2D" w:rsidRPr="009C3954">
        <w:rPr>
          <w:szCs w:val="22"/>
        </w:rPr>
        <w:t>effectuates a primary jurisdiction referral from the United States District Court for the Sout</w:t>
      </w:r>
      <w:r w:rsidR="002643FA">
        <w:rPr>
          <w:szCs w:val="22"/>
        </w:rPr>
        <w:t>hern District of South Dakota (Court</w:t>
      </w:r>
      <w:r w:rsidR="00A37A2D" w:rsidRPr="009C3954">
        <w:rPr>
          <w:szCs w:val="22"/>
        </w:rPr>
        <w:t>) in connection with litigation pending before the Court.</w:t>
      </w:r>
      <w:r w:rsidR="00A37A2D" w:rsidRPr="009C3954">
        <w:rPr>
          <w:rStyle w:val="FootnoteReference"/>
          <w:sz w:val="22"/>
          <w:szCs w:val="22"/>
        </w:rPr>
        <w:footnoteReference w:id="4"/>
      </w:r>
      <w:r w:rsidR="00A37A2D">
        <w:rPr>
          <w:szCs w:val="22"/>
        </w:rPr>
        <w:t xml:space="preserve">  In short, Qwest </w:t>
      </w:r>
      <w:r w:rsidRPr="009C3954">
        <w:rPr>
          <w:szCs w:val="22"/>
        </w:rPr>
        <w:t xml:space="preserve">alleges that Sancom </w:t>
      </w:r>
      <w:r w:rsidR="00E00858" w:rsidRPr="009C3954">
        <w:rPr>
          <w:szCs w:val="22"/>
        </w:rPr>
        <w:t>is violating</w:t>
      </w:r>
      <w:r w:rsidRPr="009C3954">
        <w:rPr>
          <w:szCs w:val="22"/>
        </w:rPr>
        <w:t xml:space="preserve"> sections 203(c) and 201(b) of the Act</w:t>
      </w:r>
      <w:r w:rsidRPr="009C3954">
        <w:rPr>
          <w:rStyle w:val="FootnoteReference"/>
          <w:sz w:val="22"/>
          <w:szCs w:val="22"/>
        </w:rPr>
        <w:footnoteReference w:id="5"/>
      </w:r>
      <w:r w:rsidRPr="009C3954">
        <w:rPr>
          <w:szCs w:val="22"/>
        </w:rPr>
        <w:t xml:space="preserve"> by attempting to obtain payments from Qwest for </w:t>
      </w:r>
      <w:r w:rsidR="00DC33F1" w:rsidRPr="009C3954">
        <w:rPr>
          <w:szCs w:val="22"/>
        </w:rPr>
        <w:t xml:space="preserve">originating and </w:t>
      </w:r>
      <w:r w:rsidRPr="009C3954">
        <w:rPr>
          <w:szCs w:val="22"/>
        </w:rPr>
        <w:t>terminating switched access on calls that do not qualify as s</w:t>
      </w:r>
      <w:r w:rsidR="00DC33F1" w:rsidRPr="009C3954">
        <w:rPr>
          <w:szCs w:val="22"/>
        </w:rPr>
        <w:t xml:space="preserve">witched access </w:t>
      </w:r>
      <w:r w:rsidR="00E00858" w:rsidRPr="009C3954">
        <w:rPr>
          <w:szCs w:val="22"/>
        </w:rPr>
        <w:t xml:space="preserve">under Sancom’s interstate access </w:t>
      </w:r>
      <w:r w:rsidR="00765315" w:rsidRPr="009C3954">
        <w:rPr>
          <w:szCs w:val="22"/>
        </w:rPr>
        <w:t xml:space="preserve">services </w:t>
      </w:r>
      <w:r w:rsidR="002643FA">
        <w:rPr>
          <w:szCs w:val="22"/>
        </w:rPr>
        <w:t>tariff (Tariff</w:t>
      </w:r>
      <w:r w:rsidR="00E00858" w:rsidRPr="009C3954">
        <w:rPr>
          <w:szCs w:val="22"/>
        </w:rPr>
        <w:t>)</w:t>
      </w:r>
      <w:r w:rsidRPr="009C3954">
        <w:rPr>
          <w:szCs w:val="22"/>
        </w:rPr>
        <w:t>.</w:t>
      </w:r>
      <w:r w:rsidR="00086897">
        <w:rPr>
          <w:rStyle w:val="FootnoteReference"/>
          <w:szCs w:val="22"/>
        </w:rPr>
        <w:footnoteReference w:id="6"/>
      </w:r>
      <w:r w:rsidRPr="009C3954">
        <w:rPr>
          <w:szCs w:val="22"/>
        </w:rPr>
        <w:t xml:space="preserve">  As discussed below, we </w:t>
      </w:r>
      <w:r w:rsidR="00E00858" w:rsidRPr="009C3954">
        <w:rPr>
          <w:iCs/>
          <w:szCs w:val="22"/>
        </w:rPr>
        <w:t xml:space="preserve">find </w:t>
      </w:r>
      <w:r w:rsidRPr="009C3954">
        <w:rPr>
          <w:iCs/>
          <w:szCs w:val="22"/>
        </w:rPr>
        <w:t xml:space="preserve">that Sancom’s interstate </w:t>
      </w:r>
      <w:r w:rsidR="006837F1" w:rsidRPr="009C3954">
        <w:rPr>
          <w:iCs/>
          <w:szCs w:val="22"/>
        </w:rPr>
        <w:t xml:space="preserve">switched </w:t>
      </w:r>
      <w:r w:rsidRPr="009C3954">
        <w:rPr>
          <w:iCs/>
          <w:szCs w:val="22"/>
        </w:rPr>
        <w:t xml:space="preserve">access </w:t>
      </w:r>
      <w:r w:rsidRPr="009C3954">
        <w:rPr>
          <w:iCs/>
          <w:szCs w:val="22"/>
        </w:rPr>
        <w:lastRenderedPageBreak/>
        <w:t xml:space="preserve">charges are unlawful because, with regard to the traffic at issue, Sancom did not have “end users” </w:t>
      </w:r>
      <w:r w:rsidR="00E00858" w:rsidRPr="009C3954">
        <w:rPr>
          <w:iCs/>
          <w:szCs w:val="22"/>
        </w:rPr>
        <w:t xml:space="preserve">that were billed or paid </w:t>
      </w:r>
      <w:r w:rsidR="006837F1" w:rsidRPr="009C3954">
        <w:rPr>
          <w:iCs/>
          <w:szCs w:val="22"/>
        </w:rPr>
        <w:t xml:space="preserve">for </w:t>
      </w:r>
      <w:r w:rsidR="00E00858" w:rsidRPr="009C3954">
        <w:rPr>
          <w:iCs/>
          <w:szCs w:val="22"/>
        </w:rPr>
        <w:t xml:space="preserve">service, </w:t>
      </w:r>
      <w:r w:rsidRPr="009C3954">
        <w:rPr>
          <w:iCs/>
          <w:szCs w:val="22"/>
        </w:rPr>
        <w:t>as required by the Tariff.</w:t>
      </w:r>
    </w:p>
    <w:p w:rsidR="00800029" w:rsidRDefault="00340DEE" w:rsidP="00E856EA">
      <w:pPr>
        <w:pStyle w:val="Heading1"/>
        <w:widowControl/>
        <w:jc w:val="left"/>
        <w:rPr>
          <w:szCs w:val="22"/>
        </w:rPr>
      </w:pPr>
      <w:bookmarkStart w:id="6" w:name="_Ref291743857"/>
      <w:r w:rsidRPr="009C3954">
        <w:rPr>
          <w:szCs w:val="22"/>
        </w:rPr>
        <w:t>BACKGROUND</w:t>
      </w:r>
      <w:bookmarkEnd w:id="6"/>
    </w:p>
    <w:p w:rsidR="00340DEE" w:rsidRPr="00800029" w:rsidRDefault="00800029" w:rsidP="00E856EA">
      <w:pPr>
        <w:pStyle w:val="Heading2"/>
        <w:widowControl/>
        <w:tabs>
          <w:tab w:val="clear" w:pos="1530"/>
          <w:tab w:val="num" w:pos="1440"/>
        </w:tabs>
        <w:ind w:left="1440"/>
        <w:jc w:val="left"/>
        <w:rPr>
          <w:bCs/>
          <w:szCs w:val="22"/>
        </w:rPr>
      </w:pPr>
      <w:r>
        <w:rPr>
          <w:bCs/>
          <w:szCs w:val="22"/>
        </w:rPr>
        <w:t>The Parties</w:t>
      </w:r>
      <w:r w:rsidR="00340DEE" w:rsidRPr="00800029">
        <w:rPr>
          <w:bCs/>
          <w:szCs w:val="22"/>
        </w:rPr>
        <w:tab/>
      </w:r>
    </w:p>
    <w:p w:rsidR="005B051A" w:rsidRDefault="005D76B6" w:rsidP="00E856EA">
      <w:pPr>
        <w:pStyle w:val="ParaNum"/>
        <w:widowControl/>
        <w:tabs>
          <w:tab w:val="clear" w:pos="1260"/>
        </w:tabs>
        <w:ind w:left="0"/>
        <w:jc w:val="left"/>
        <w:rPr>
          <w:szCs w:val="22"/>
        </w:rPr>
      </w:pPr>
      <w:bookmarkStart w:id="7" w:name="OLE_LINK5"/>
      <w:bookmarkStart w:id="8" w:name="OLE_LINK6"/>
      <w:r w:rsidRPr="009C3954">
        <w:rPr>
          <w:szCs w:val="22"/>
        </w:rPr>
        <w:t xml:space="preserve">Qwest </w:t>
      </w:r>
      <w:r>
        <w:rPr>
          <w:szCs w:val="22"/>
        </w:rPr>
        <w:t xml:space="preserve">provides telecommunications services in </w:t>
      </w:r>
      <w:smartTag w:uri="urn:schemas-microsoft-com:office:smarttags" w:element="State">
        <w:r>
          <w:rPr>
            <w:szCs w:val="22"/>
          </w:rPr>
          <w:t>South Dakota</w:t>
        </w:r>
      </w:smartTag>
      <w:r>
        <w:rPr>
          <w:szCs w:val="22"/>
        </w:rPr>
        <w:t xml:space="preserve"> and throughout the </w:t>
      </w:r>
      <w:smartTag w:uri="urn:schemas-microsoft-com:office:smarttags" w:element="country-region">
        <w:smartTag w:uri="urn:schemas-microsoft-com:office:smarttags" w:element="place">
          <w:r>
            <w:rPr>
              <w:szCs w:val="22"/>
            </w:rPr>
            <w:t>United States</w:t>
          </w:r>
        </w:smartTag>
      </w:smartTag>
      <w:r>
        <w:rPr>
          <w:szCs w:val="22"/>
        </w:rPr>
        <w:t>, including interexchange (long-distance) services.</w:t>
      </w:r>
      <w:r w:rsidRPr="009C3954">
        <w:rPr>
          <w:rStyle w:val="FootnoteReference"/>
          <w:sz w:val="22"/>
          <w:szCs w:val="22"/>
        </w:rPr>
        <w:footnoteReference w:id="7"/>
      </w:r>
      <w:r>
        <w:rPr>
          <w:szCs w:val="22"/>
        </w:rPr>
        <w:t xml:space="preserve">  In its capacity as an</w:t>
      </w:r>
      <w:r w:rsidR="002643FA">
        <w:rPr>
          <w:szCs w:val="22"/>
        </w:rPr>
        <w:t xml:space="preserve"> interexchange carrier (IXC</w:t>
      </w:r>
      <w:r w:rsidRPr="009C3954">
        <w:rPr>
          <w:szCs w:val="22"/>
        </w:rPr>
        <w:t>)</w:t>
      </w:r>
      <w:r>
        <w:rPr>
          <w:szCs w:val="22"/>
        </w:rPr>
        <w:t>, Qwest has received invoices from Sancom stating that Qwest owes Sancom fees for, among other things, interstate access services.</w:t>
      </w:r>
      <w:r w:rsidR="00EE5701">
        <w:rPr>
          <w:rStyle w:val="FootnoteReference"/>
          <w:szCs w:val="22"/>
        </w:rPr>
        <w:footnoteReference w:id="8"/>
      </w:r>
      <w:r w:rsidR="009649CA">
        <w:rPr>
          <w:szCs w:val="22"/>
        </w:rPr>
        <w:t xml:space="preserve">  Qwest has paid some of Sancom’s invoices, but has not paid </w:t>
      </w:r>
      <w:r w:rsidR="00D118BB">
        <w:rPr>
          <w:szCs w:val="22"/>
        </w:rPr>
        <w:t>other</w:t>
      </w:r>
      <w:r w:rsidR="009649CA">
        <w:rPr>
          <w:szCs w:val="22"/>
        </w:rPr>
        <w:t>s.</w:t>
      </w:r>
      <w:r w:rsidR="004B6ED9">
        <w:rPr>
          <w:rStyle w:val="FootnoteReference"/>
          <w:szCs w:val="22"/>
        </w:rPr>
        <w:footnoteReference w:id="9"/>
      </w:r>
    </w:p>
    <w:p w:rsidR="005D76B6" w:rsidRDefault="005D76B6" w:rsidP="00E856EA">
      <w:pPr>
        <w:pStyle w:val="ParaNum"/>
        <w:widowControl/>
        <w:tabs>
          <w:tab w:val="clear" w:pos="1260"/>
        </w:tabs>
        <w:ind w:left="0"/>
        <w:jc w:val="left"/>
        <w:rPr>
          <w:szCs w:val="22"/>
        </w:rPr>
      </w:pPr>
      <w:r w:rsidRPr="009C3954">
        <w:rPr>
          <w:szCs w:val="22"/>
        </w:rPr>
        <w:t>Sancom is a compe</w:t>
      </w:r>
      <w:r w:rsidR="002643FA">
        <w:rPr>
          <w:szCs w:val="22"/>
        </w:rPr>
        <w:t>titive local exchange carrier (LEC</w:t>
      </w:r>
      <w:r w:rsidRPr="009C3954">
        <w:rPr>
          <w:szCs w:val="22"/>
        </w:rPr>
        <w:t xml:space="preserve">) serving residential and business customers in </w:t>
      </w:r>
      <w:smartTag w:uri="urn:schemas-microsoft-com:office:smarttags" w:element="place">
        <w:smartTag w:uri="urn:schemas-microsoft-com:office:smarttags" w:element="State">
          <w:r w:rsidRPr="009C3954">
            <w:rPr>
              <w:szCs w:val="22"/>
            </w:rPr>
            <w:t>South Dakota</w:t>
          </w:r>
        </w:smartTag>
      </w:smartTag>
      <w:r w:rsidRPr="009C3954">
        <w:rPr>
          <w:szCs w:val="22"/>
        </w:rPr>
        <w:t>.</w:t>
      </w:r>
      <w:r w:rsidRPr="009C3954">
        <w:rPr>
          <w:rStyle w:val="FootnoteReference"/>
          <w:sz w:val="22"/>
          <w:szCs w:val="22"/>
        </w:rPr>
        <w:footnoteReference w:id="10"/>
      </w:r>
      <w:r w:rsidRPr="009C3954">
        <w:rPr>
          <w:szCs w:val="22"/>
        </w:rPr>
        <w:t xml:space="preserve">  </w:t>
      </w:r>
      <w:r w:rsidR="005B051A">
        <w:rPr>
          <w:szCs w:val="22"/>
        </w:rPr>
        <w:t xml:space="preserve">As a LEC, </w:t>
      </w:r>
      <w:r w:rsidRPr="009C3954">
        <w:rPr>
          <w:szCs w:val="22"/>
        </w:rPr>
        <w:t xml:space="preserve">Sancom </w:t>
      </w:r>
      <w:r w:rsidR="005B051A">
        <w:rPr>
          <w:szCs w:val="22"/>
        </w:rPr>
        <w:t>provides the facilities that allow calls carried by IXCs</w:t>
      </w:r>
      <w:r w:rsidR="000344EB">
        <w:rPr>
          <w:szCs w:val="22"/>
        </w:rPr>
        <w:t>, such as Qwest,</w:t>
      </w:r>
      <w:r w:rsidR="005B051A">
        <w:rPr>
          <w:szCs w:val="22"/>
        </w:rPr>
        <w:t xml:space="preserve"> to be originated and t</w:t>
      </w:r>
      <w:r w:rsidR="00D118BB">
        <w:rPr>
          <w:szCs w:val="22"/>
        </w:rPr>
        <w:t>erminated with Sancom’s</w:t>
      </w:r>
      <w:r w:rsidR="005B051A">
        <w:rPr>
          <w:szCs w:val="22"/>
        </w:rPr>
        <w:t xml:space="preserve"> local customers.</w:t>
      </w:r>
      <w:r w:rsidR="000344EB">
        <w:rPr>
          <w:rStyle w:val="FootnoteReference"/>
          <w:szCs w:val="22"/>
        </w:rPr>
        <w:footnoteReference w:id="11"/>
      </w:r>
      <w:r w:rsidR="005B051A">
        <w:rPr>
          <w:szCs w:val="22"/>
        </w:rPr>
        <w:t xml:space="preserve">  Beginning in 2005, Sancom assessed fees </w:t>
      </w:r>
      <w:r w:rsidR="00194837">
        <w:rPr>
          <w:szCs w:val="22"/>
        </w:rPr>
        <w:t>(</w:t>
      </w:r>
      <w:r w:rsidR="005B051A">
        <w:rPr>
          <w:szCs w:val="22"/>
        </w:rPr>
        <w:t>described in invoices as switched access charges</w:t>
      </w:r>
      <w:r w:rsidR="00194837">
        <w:rPr>
          <w:szCs w:val="22"/>
        </w:rPr>
        <w:t>)</w:t>
      </w:r>
      <w:r w:rsidR="005B051A">
        <w:rPr>
          <w:szCs w:val="22"/>
        </w:rPr>
        <w:t xml:space="preserve"> on Qwest for calls destined for</w:t>
      </w:r>
      <w:r w:rsidR="00112E78">
        <w:rPr>
          <w:szCs w:val="22"/>
        </w:rPr>
        <w:t>,</w:t>
      </w:r>
      <w:r w:rsidR="005B051A">
        <w:rPr>
          <w:szCs w:val="22"/>
        </w:rPr>
        <w:t xml:space="preserve"> or originating fro</w:t>
      </w:r>
      <w:r w:rsidR="00ED0C6C">
        <w:rPr>
          <w:szCs w:val="22"/>
        </w:rPr>
        <w:t>m</w:t>
      </w:r>
      <w:r w:rsidR="00112E78">
        <w:rPr>
          <w:szCs w:val="22"/>
        </w:rPr>
        <w:t>,</w:t>
      </w:r>
      <w:r w:rsidR="00ED0C6C">
        <w:rPr>
          <w:szCs w:val="22"/>
        </w:rPr>
        <w:t xml:space="preserve"> telephone numbers assigned to </w:t>
      </w:r>
      <w:r w:rsidR="00ED0C6C" w:rsidRPr="009C3954">
        <w:rPr>
          <w:szCs w:val="22"/>
        </w:rPr>
        <w:t>two entities, Free Conferencing Corporation and Ocean Bay Marketing (</w:t>
      </w:r>
      <w:r w:rsidR="00D17D07">
        <w:rPr>
          <w:szCs w:val="22"/>
        </w:rPr>
        <w:t xml:space="preserve">collectively, </w:t>
      </w:r>
      <w:r w:rsidR="002643FA">
        <w:rPr>
          <w:szCs w:val="22"/>
        </w:rPr>
        <w:t>the Free Calling Companies</w:t>
      </w:r>
      <w:r w:rsidR="00ED0C6C" w:rsidRPr="009C3954">
        <w:rPr>
          <w:szCs w:val="22"/>
        </w:rPr>
        <w:t>)</w:t>
      </w:r>
      <w:r w:rsidR="00ED0C6C">
        <w:rPr>
          <w:szCs w:val="22"/>
        </w:rPr>
        <w:t>.</w:t>
      </w:r>
      <w:r w:rsidR="00ED0C6C">
        <w:rPr>
          <w:rStyle w:val="FootnoteReference"/>
          <w:szCs w:val="22"/>
        </w:rPr>
        <w:footnoteReference w:id="12"/>
      </w:r>
      <w:r w:rsidR="00A009E9">
        <w:rPr>
          <w:szCs w:val="22"/>
        </w:rPr>
        <w:t xml:space="preserve">  As described below, Sancom entered into agreements with the Free Calling Companies </w:t>
      </w:r>
      <w:r w:rsidR="00D118BB">
        <w:rPr>
          <w:szCs w:val="22"/>
        </w:rPr>
        <w:t>that resulted in</w:t>
      </w:r>
      <w:r w:rsidR="00A009E9" w:rsidRPr="009C3954">
        <w:rPr>
          <w:szCs w:val="22"/>
        </w:rPr>
        <w:t xml:space="preserve"> large amounts of originating and terminating interexchange traffic for which Sancom and </w:t>
      </w:r>
      <w:bookmarkStart w:id="11" w:name="OLE_LINK3"/>
      <w:bookmarkStart w:id="12" w:name="OLE_LINK4"/>
      <w:r w:rsidR="00A009E9" w:rsidRPr="009C3954">
        <w:rPr>
          <w:szCs w:val="22"/>
        </w:rPr>
        <w:t xml:space="preserve">the Free Calling Companies </w:t>
      </w:r>
      <w:bookmarkEnd w:id="11"/>
      <w:bookmarkEnd w:id="12"/>
      <w:r w:rsidR="00A009E9" w:rsidRPr="009C3954">
        <w:rPr>
          <w:szCs w:val="22"/>
        </w:rPr>
        <w:t>would split the resulting access charge revenue – a practice referred to as “access stimulation.”</w:t>
      </w:r>
      <w:r w:rsidR="00A009E9" w:rsidRPr="009C3954">
        <w:rPr>
          <w:rStyle w:val="FootnoteReference"/>
          <w:sz w:val="22"/>
          <w:szCs w:val="22"/>
        </w:rPr>
        <w:footnoteReference w:id="13"/>
      </w:r>
    </w:p>
    <w:p w:rsidR="00525DC3" w:rsidRPr="00525DC3" w:rsidRDefault="00D17D07" w:rsidP="00E856EA">
      <w:pPr>
        <w:pStyle w:val="Heading2"/>
        <w:widowControl/>
        <w:tabs>
          <w:tab w:val="clear" w:pos="1530"/>
          <w:tab w:val="num" w:pos="1440"/>
        </w:tabs>
        <w:ind w:left="1440"/>
        <w:jc w:val="left"/>
        <w:rPr>
          <w:bCs/>
          <w:szCs w:val="22"/>
        </w:rPr>
      </w:pPr>
      <w:r>
        <w:t>The Free Calling Companies</w:t>
      </w:r>
    </w:p>
    <w:p w:rsidR="00357371" w:rsidRPr="009C3954" w:rsidRDefault="00357371" w:rsidP="00357371">
      <w:pPr>
        <w:pStyle w:val="ParaNum"/>
        <w:widowControl/>
        <w:tabs>
          <w:tab w:val="clear" w:pos="1260"/>
        </w:tabs>
        <w:ind w:left="0"/>
        <w:jc w:val="left"/>
        <w:rPr>
          <w:szCs w:val="22"/>
        </w:rPr>
      </w:pPr>
      <w:r>
        <w:rPr>
          <w:szCs w:val="22"/>
        </w:rPr>
        <w:t>Free Conferencing Corporation (Free Conferencing</w:t>
      </w:r>
      <w:r w:rsidRPr="009C3954">
        <w:rPr>
          <w:szCs w:val="22"/>
        </w:rPr>
        <w:t>)</w:t>
      </w:r>
      <w:r>
        <w:rPr>
          <w:szCs w:val="22"/>
        </w:rPr>
        <w:t>, which</w:t>
      </w:r>
      <w:r w:rsidRPr="009C3954">
        <w:rPr>
          <w:szCs w:val="22"/>
        </w:rPr>
        <w:t xml:space="preserve"> is not a common carrier</w:t>
      </w:r>
      <w:r>
        <w:rPr>
          <w:szCs w:val="22"/>
        </w:rPr>
        <w:t>,</w:t>
      </w:r>
      <w:r w:rsidRPr="009C3954">
        <w:rPr>
          <w:szCs w:val="22"/>
        </w:rPr>
        <w:t xml:space="preserve"> provides free conference calling services to third</w:t>
      </w:r>
      <w:r>
        <w:rPr>
          <w:szCs w:val="22"/>
        </w:rPr>
        <w:t xml:space="preserve"> </w:t>
      </w:r>
      <w:r w:rsidRPr="009C3954">
        <w:rPr>
          <w:szCs w:val="22"/>
        </w:rPr>
        <w:t>parties.</w:t>
      </w:r>
      <w:r w:rsidRPr="009C3954">
        <w:rPr>
          <w:rStyle w:val="FootnoteReference"/>
          <w:sz w:val="22"/>
          <w:szCs w:val="22"/>
        </w:rPr>
        <w:footnoteReference w:id="14"/>
      </w:r>
      <w:r w:rsidRPr="009C3954">
        <w:rPr>
          <w:szCs w:val="22"/>
        </w:rPr>
        <w:t xml:space="preserve">  The calls involving Free Conferencing are the terminating calls at issue</w:t>
      </w:r>
      <w:r>
        <w:rPr>
          <w:szCs w:val="22"/>
        </w:rPr>
        <w:t xml:space="preserve"> in this case, i.e., those for which Sancom has charged Qwest for terminating services</w:t>
      </w:r>
      <w:r w:rsidRPr="009C3954">
        <w:rPr>
          <w:szCs w:val="22"/>
        </w:rPr>
        <w:t>.  On or about March 1, 2005, Sancom and Free Conferencing entered into an agreement under which Free Conferencing would use conferencing bridges placed in Sancom’s central office, and Sancom would assign telephone numbers for use by Free Conferencing</w:t>
      </w:r>
      <w:r>
        <w:rPr>
          <w:szCs w:val="22"/>
        </w:rPr>
        <w:t>.</w:t>
      </w:r>
      <w:r w:rsidRPr="009C3954">
        <w:rPr>
          <w:rStyle w:val="FootnoteReference"/>
          <w:sz w:val="22"/>
          <w:szCs w:val="22"/>
        </w:rPr>
        <w:footnoteReference w:id="15"/>
      </w:r>
      <w:r w:rsidRPr="009C3954">
        <w:rPr>
          <w:szCs w:val="22"/>
        </w:rPr>
        <w:t xml:space="preserve">  </w:t>
      </w:r>
      <w:r w:rsidR="0066335F">
        <w:rPr>
          <w:szCs w:val="22"/>
        </w:rPr>
        <w:t xml:space="preserve">The agreement obligated </w:t>
      </w:r>
      <w:r w:rsidRPr="009C3954">
        <w:rPr>
          <w:szCs w:val="22"/>
        </w:rPr>
        <w:t xml:space="preserve">Sancom </w:t>
      </w:r>
      <w:r w:rsidR="0066335F">
        <w:rPr>
          <w:szCs w:val="22"/>
        </w:rPr>
        <w:t>to provide</w:t>
      </w:r>
      <w:r w:rsidRPr="009C3954">
        <w:rPr>
          <w:szCs w:val="22"/>
        </w:rPr>
        <w:t xml:space="preserve"> Free Conferencing with ISDN-PRI circuits, DS1 to DS3 multiplexing, DS3 channel terminations, and switching functions.</w:t>
      </w:r>
      <w:r w:rsidRPr="009C3954">
        <w:rPr>
          <w:rStyle w:val="FootnoteReference"/>
          <w:sz w:val="22"/>
          <w:szCs w:val="22"/>
        </w:rPr>
        <w:footnoteReference w:id="16"/>
      </w:r>
      <w:r w:rsidRPr="009C3954">
        <w:rPr>
          <w:szCs w:val="22"/>
        </w:rPr>
        <w:t xml:space="preserve">  </w:t>
      </w:r>
      <w:r w:rsidR="0066335F">
        <w:rPr>
          <w:szCs w:val="22"/>
        </w:rPr>
        <w:t>In turn, Free Conferencing would</w:t>
      </w:r>
      <w:r>
        <w:rPr>
          <w:szCs w:val="22"/>
        </w:rPr>
        <w:t xml:space="preserve"> provide a minimum minutes of use.</w:t>
      </w:r>
      <w:r>
        <w:rPr>
          <w:rStyle w:val="FootnoteReference"/>
          <w:szCs w:val="22"/>
        </w:rPr>
        <w:footnoteReference w:id="17"/>
      </w:r>
      <w:r>
        <w:rPr>
          <w:szCs w:val="22"/>
        </w:rPr>
        <w:t xml:space="preserve">  </w:t>
      </w:r>
      <w:r w:rsidR="0066335F">
        <w:rPr>
          <w:szCs w:val="22"/>
        </w:rPr>
        <w:t xml:space="preserve">Moreover, under the agreement, </w:t>
      </w:r>
      <w:r w:rsidRPr="009C3954">
        <w:rPr>
          <w:szCs w:val="22"/>
        </w:rPr>
        <w:t>Sancom would pay Free Conferencing a per-minute fee when IXCs paid Sancom’s related switched access bills.</w:t>
      </w:r>
      <w:r w:rsidRPr="009C3954">
        <w:rPr>
          <w:rStyle w:val="FootnoteReference"/>
          <w:sz w:val="22"/>
          <w:szCs w:val="22"/>
        </w:rPr>
        <w:footnoteReference w:id="18"/>
      </w:r>
      <w:r w:rsidRPr="009C3954">
        <w:rPr>
          <w:szCs w:val="22"/>
        </w:rPr>
        <w:t xml:space="preserve">  With regard to the calls at issue, </w:t>
      </w:r>
      <w:r w:rsidR="00CB4DED">
        <w:rPr>
          <w:szCs w:val="22"/>
        </w:rPr>
        <w:t>there is no</w:t>
      </w:r>
      <w:r>
        <w:rPr>
          <w:szCs w:val="22"/>
        </w:rPr>
        <w:t xml:space="preserve"> evidence that </w:t>
      </w:r>
      <w:r w:rsidRPr="009C3954">
        <w:rPr>
          <w:szCs w:val="22"/>
        </w:rPr>
        <w:t xml:space="preserve">Free Conferencing </w:t>
      </w:r>
      <w:r>
        <w:rPr>
          <w:szCs w:val="22"/>
        </w:rPr>
        <w:t>paid</w:t>
      </w:r>
      <w:r w:rsidRPr="009C3954">
        <w:rPr>
          <w:szCs w:val="22"/>
        </w:rPr>
        <w:t xml:space="preserve"> Sancom any telecommunications fees or surcharges</w:t>
      </w:r>
      <w:r>
        <w:rPr>
          <w:szCs w:val="22"/>
        </w:rPr>
        <w:t xml:space="preserve">, </w:t>
      </w:r>
      <w:r w:rsidRPr="009C3954">
        <w:rPr>
          <w:szCs w:val="22"/>
        </w:rPr>
        <w:t xml:space="preserve">federal Universal Service charges, sales taxes, </w:t>
      </w:r>
      <w:r>
        <w:rPr>
          <w:szCs w:val="22"/>
        </w:rPr>
        <w:t>or excise taxes</w:t>
      </w:r>
      <w:r w:rsidRPr="009C3954">
        <w:rPr>
          <w:szCs w:val="22"/>
        </w:rPr>
        <w:t>.</w:t>
      </w:r>
      <w:r w:rsidRPr="009C3954">
        <w:rPr>
          <w:rStyle w:val="FootnoteReference"/>
          <w:sz w:val="22"/>
          <w:szCs w:val="22"/>
        </w:rPr>
        <w:footnoteReference w:id="19"/>
      </w:r>
    </w:p>
    <w:p w:rsidR="00D17D07" w:rsidRPr="009C3954" w:rsidRDefault="00357371" w:rsidP="00E856EA">
      <w:pPr>
        <w:pStyle w:val="ParaNum"/>
        <w:widowControl/>
        <w:tabs>
          <w:tab w:val="clear" w:pos="1260"/>
        </w:tabs>
        <w:ind w:left="0"/>
        <w:jc w:val="left"/>
      </w:pPr>
      <w:r>
        <w:rPr>
          <w:szCs w:val="22"/>
        </w:rPr>
        <w:t>Ocean Bay Marketing (</w:t>
      </w:r>
      <w:smartTag w:uri="urn:schemas-microsoft-com:office:smarttags" w:element="place">
        <w:smartTag w:uri="urn:schemas-microsoft-com:office:smarttags" w:element="PlaceType">
          <w:r w:rsidRPr="009C3954">
            <w:rPr>
              <w:szCs w:val="22"/>
            </w:rPr>
            <w:t>Ocean</w:t>
          </w:r>
        </w:smartTag>
        <w:r w:rsidRPr="009C3954">
          <w:rPr>
            <w:szCs w:val="22"/>
          </w:rPr>
          <w:t xml:space="preserve"> </w:t>
        </w:r>
        <w:smartTag w:uri="urn:schemas-microsoft-com:office:smarttags" w:element="PlaceType">
          <w:r w:rsidRPr="009C3954">
            <w:rPr>
              <w:szCs w:val="22"/>
            </w:rPr>
            <w:t>Bay</w:t>
          </w:r>
        </w:smartTag>
      </w:smartTag>
      <w:r w:rsidRPr="009C3954">
        <w:rPr>
          <w:szCs w:val="22"/>
        </w:rPr>
        <w:t>)</w:t>
      </w:r>
      <w:r>
        <w:rPr>
          <w:szCs w:val="22"/>
        </w:rPr>
        <w:t>, which</w:t>
      </w:r>
      <w:r w:rsidRPr="009C3954">
        <w:rPr>
          <w:szCs w:val="22"/>
        </w:rPr>
        <w:t xml:space="preserve"> is not a common carrier</w:t>
      </w:r>
      <w:r>
        <w:rPr>
          <w:szCs w:val="22"/>
        </w:rPr>
        <w:t>,</w:t>
      </w:r>
      <w:r w:rsidRPr="009C3954">
        <w:rPr>
          <w:rStyle w:val="FootnoteReference"/>
          <w:sz w:val="22"/>
          <w:szCs w:val="22"/>
        </w:rPr>
        <w:footnoteReference w:id="20"/>
      </w:r>
      <w:r>
        <w:rPr>
          <w:szCs w:val="22"/>
        </w:rPr>
        <w:t xml:space="preserve"> provided</w:t>
      </w:r>
      <w:r w:rsidRPr="009C3954">
        <w:rPr>
          <w:szCs w:val="22"/>
        </w:rPr>
        <w:t xml:space="preserve"> advertising services to third-parties by automatically dialing 8YY calls and playing automated messages upon the call’s inception.</w:t>
      </w:r>
      <w:r w:rsidRPr="009C3954">
        <w:rPr>
          <w:rStyle w:val="FootnoteReference"/>
          <w:sz w:val="22"/>
          <w:szCs w:val="22"/>
        </w:rPr>
        <w:footnoteReference w:id="21"/>
      </w:r>
      <w:r w:rsidRPr="009C3954">
        <w:rPr>
          <w:szCs w:val="22"/>
        </w:rPr>
        <w:t xml:space="preserve">  The calls involving </w:t>
      </w:r>
      <w:smartTag w:uri="urn:schemas-microsoft-com:office:smarttags" w:element="place">
        <w:smartTag w:uri="urn:schemas-microsoft-com:office:smarttags" w:element="PlaceType">
          <w:r w:rsidRPr="009C3954">
            <w:rPr>
              <w:szCs w:val="22"/>
            </w:rPr>
            <w:t>Ocean</w:t>
          </w:r>
        </w:smartTag>
        <w:r w:rsidRPr="009C3954">
          <w:rPr>
            <w:szCs w:val="22"/>
          </w:rPr>
          <w:t xml:space="preserve"> </w:t>
        </w:r>
        <w:smartTag w:uri="urn:schemas-microsoft-com:office:smarttags" w:element="PlaceType">
          <w:r w:rsidRPr="009C3954">
            <w:rPr>
              <w:szCs w:val="22"/>
            </w:rPr>
            <w:t>Bay</w:t>
          </w:r>
        </w:smartTag>
      </w:smartTag>
      <w:r w:rsidRPr="009C3954">
        <w:rPr>
          <w:szCs w:val="22"/>
        </w:rPr>
        <w:t xml:space="preserve"> are the originating calls at issue</w:t>
      </w:r>
      <w:r>
        <w:rPr>
          <w:szCs w:val="22"/>
        </w:rPr>
        <w:t xml:space="preserve"> in this case</w:t>
      </w:r>
      <w:r w:rsidRPr="009C3954">
        <w:rPr>
          <w:szCs w:val="22"/>
        </w:rPr>
        <w:t xml:space="preserve">.  On or about August 31, 2005, Sancom entered into an agreement with </w:t>
      </w:r>
      <w:smartTag w:uri="urn:schemas-microsoft-com:office:smarttags" w:element="PlaceType">
        <w:r w:rsidRPr="009C3954">
          <w:rPr>
            <w:szCs w:val="22"/>
          </w:rPr>
          <w:t>Ocean</w:t>
        </w:r>
      </w:smartTag>
      <w:r w:rsidRPr="009C3954">
        <w:rPr>
          <w:szCs w:val="22"/>
        </w:rPr>
        <w:t xml:space="preserve"> </w:t>
      </w:r>
      <w:smartTag w:uri="urn:schemas-microsoft-com:office:smarttags" w:element="PlaceType">
        <w:r w:rsidRPr="009C3954">
          <w:rPr>
            <w:szCs w:val="22"/>
          </w:rPr>
          <w:t>Bay</w:t>
        </w:r>
      </w:smartTag>
      <w:r w:rsidRPr="009C3954">
        <w:rPr>
          <w:szCs w:val="22"/>
        </w:rPr>
        <w:t xml:space="preserve"> under which Sancom would provide a location for </w:t>
      </w:r>
      <w:smartTag w:uri="urn:schemas-microsoft-com:office:smarttags" w:element="place">
        <w:smartTag w:uri="urn:schemas-microsoft-com:office:smarttags" w:element="PlaceType">
          <w:r w:rsidRPr="009C3954">
            <w:rPr>
              <w:szCs w:val="22"/>
            </w:rPr>
            <w:t>Ocean</w:t>
          </w:r>
        </w:smartTag>
        <w:r w:rsidRPr="009C3954">
          <w:rPr>
            <w:szCs w:val="22"/>
          </w:rPr>
          <w:t xml:space="preserve"> </w:t>
        </w:r>
        <w:smartTag w:uri="urn:schemas-microsoft-com:office:smarttags" w:element="PlaceType">
          <w:r w:rsidRPr="009C3954">
            <w:rPr>
              <w:szCs w:val="22"/>
            </w:rPr>
            <w:t>Bay</w:t>
          </w:r>
        </w:smartTag>
      </w:smartTag>
      <w:r w:rsidRPr="009C3954">
        <w:rPr>
          <w:szCs w:val="22"/>
        </w:rPr>
        <w:t>’s 8YY dialing equipment.</w:t>
      </w:r>
      <w:r w:rsidRPr="009C3954">
        <w:rPr>
          <w:rStyle w:val="FootnoteReference"/>
          <w:sz w:val="22"/>
          <w:szCs w:val="22"/>
        </w:rPr>
        <w:footnoteReference w:id="22"/>
      </w:r>
      <w:r w:rsidRPr="009C3954">
        <w:rPr>
          <w:szCs w:val="22"/>
        </w:rPr>
        <w:t xml:space="preserve">  Lik</w:t>
      </w:r>
      <w:r w:rsidR="0066335F">
        <w:rPr>
          <w:szCs w:val="22"/>
        </w:rPr>
        <w:t>e the Sancom-Free Conferencing Agreement</w:t>
      </w:r>
      <w:r w:rsidRPr="009C3954">
        <w:rPr>
          <w:szCs w:val="22"/>
        </w:rPr>
        <w:t xml:space="preserve">, </w:t>
      </w:r>
      <w:r w:rsidR="0066335F">
        <w:rPr>
          <w:szCs w:val="22"/>
        </w:rPr>
        <w:t xml:space="preserve">the Sancom-Ocean Bay Agreement obligated </w:t>
      </w:r>
      <w:r w:rsidRPr="009C3954">
        <w:rPr>
          <w:szCs w:val="22"/>
        </w:rPr>
        <w:t xml:space="preserve">Sancom </w:t>
      </w:r>
      <w:r w:rsidR="0066335F">
        <w:rPr>
          <w:szCs w:val="22"/>
        </w:rPr>
        <w:t>to provide</w:t>
      </w:r>
      <w:r w:rsidRPr="009C3954">
        <w:rPr>
          <w:szCs w:val="22"/>
        </w:rPr>
        <w:t xml:space="preserve"> </w:t>
      </w:r>
      <w:smartTag w:uri="urn:schemas-microsoft-com:office:smarttags" w:element="place">
        <w:smartTag w:uri="urn:schemas-microsoft-com:office:smarttags" w:element="PlaceType">
          <w:r w:rsidRPr="009C3954">
            <w:rPr>
              <w:szCs w:val="22"/>
            </w:rPr>
            <w:t>Ocean</w:t>
          </w:r>
        </w:smartTag>
        <w:r w:rsidRPr="009C3954">
          <w:rPr>
            <w:szCs w:val="22"/>
          </w:rPr>
          <w:t xml:space="preserve"> </w:t>
        </w:r>
        <w:smartTag w:uri="urn:schemas-microsoft-com:office:smarttags" w:element="PlaceType">
          <w:r w:rsidRPr="009C3954">
            <w:rPr>
              <w:szCs w:val="22"/>
            </w:rPr>
            <w:t>Bay</w:t>
          </w:r>
        </w:smartTag>
      </w:smartTag>
      <w:r w:rsidRPr="009C3954">
        <w:rPr>
          <w:szCs w:val="22"/>
        </w:rPr>
        <w:t xml:space="preserve"> with ISDN-PRI circuits, DS1 to DS3 multiplexing, DS3 channel terminations, and switching functions</w:t>
      </w:r>
      <w:r>
        <w:rPr>
          <w:szCs w:val="22"/>
        </w:rPr>
        <w:t>.</w:t>
      </w:r>
      <w:r w:rsidRPr="009C3954">
        <w:rPr>
          <w:rStyle w:val="FootnoteReference"/>
          <w:sz w:val="22"/>
          <w:szCs w:val="22"/>
        </w:rPr>
        <w:footnoteReference w:id="23"/>
      </w:r>
      <w:r w:rsidR="0066335F">
        <w:rPr>
          <w:szCs w:val="22"/>
        </w:rPr>
        <w:t xml:space="preserve">  It further required</w:t>
      </w:r>
      <w:r>
        <w:rPr>
          <w:szCs w:val="22"/>
        </w:rPr>
        <w:t xml:space="preserve"> </w:t>
      </w:r>
      <w:smartTag w:uri="urn:schemas-microsoft-com:office:smarttags" w:element="place">
        <w:smartTag w:uri="urn:schemas-microsoft-com:office:smarttags" w:element="PlaceType">
          <w:r>
            <w:rPr>
              <w:szCs w:val="22"/>
            </w:rPr>
            <w:t>Ocean</w:t>
          </w:r>
        </w:smartTag>
        <w:r>
          <w:rPr>
            <w:szCs w:val="22"/>
          </w:rPr>
          <w:t xml:space="preserve"> </w:t>
        </w:r>
        <w:smartTag w:uri="urn:schemas-microsoft-com:office:smarttags" w:element="PlaceType">
          <w:r>
            <w:rPr>
              <w:szCs w:val="22"/>
            </w:rPr>
            <w:t>Bay</w:t>
          </w:r>
        </w:smartTag>
      </w:smartTag>
      <w:r>
        <w:rPr>
          <w:szCs w:val="22"/>
        </w:rPr>
        <w:t xml:space="preserve"> to provide a minimum minutes of use.</w:t>
      </w:r>
      <w:r>
        <w:rPr>
          <w:rStyle w:val="FootnoteReference"/>
          <w:szCs w:val="22"/>
        </w:rPr>
        <w:footnoteReference w:id="24"/>
      </w:r>
      <w:r w:rsidR="00D17D07" w:rsidRPr="009C3954">
        <w:t xml:space="preserve"> </w:t>
      </w:r>
      <w:r w:rsidR="006F4CB5">
        <w:t xml:space="preserve"> In turn,</w:t>
      </w:r>
      <w:r w:rsidR="00D17D07" w:rsidRPr="009C3954">
        <w:t xml:space="preserve"> Sancom agreed to pay </w:t>
      </w:r>
      <w:smartTag w:uri="urn:schemas-microsoft-com:office:smarttags" w:element="place">
        <w:smartTag w:uri="urn:schemas-microsoft-com:office:smarttags" w:element="PlaceType">
          <w:r w:rsidR="00D17D07" w:rsidRPr="009C3954">
            <w:t>Ocean</w:t>
          </w:r>
        </w:smartTag>
        <w:r w:rsidR="00D17D07" w:rsidRPr="009C3954">
          <w:t xml:space="preserve"> </w:t>
        </w:r>
        <w:smartTag w:uri="urn:schemas-microsoft-com:office:smarttags" w:element="PlaceType">
          <w:r w:rsidR="00D17D07" w:rsidRPr="009C3954">
            <w:t>Bay</w:t>
          </w:r>
        </w:smartTag>
      </w:smartTag>
      <w:r w:rsidR="00D17D07" w:rsidRPr="009C3954">
        <w:t xml:space="preserve"> a per-minute fee when IXCs paid Sancom’s related switched access bills.</w:t>
      </w:r>
      <w:r w:rsidR="00D17D07" w:rsidRPr="009C3954">
        <w:rPr>
          <w:rStyle w:val="FootnoteReference"/>
          <w:sz w:val="22"/>
          <w:szCs w:val="22"/>
        </w:rPr>
        <w:footnoteReference w:id="25"/>
      </w:r>
      <w:r w:rsidR="00D17D07" w:rsidRPr="009C3954">
        <w:t xml:space="preserve">  </w:t>
      </w:r>
      <w:r w:rsidR="00DD3B21">
        <w:t>As with Free Conferencing, [r</w:t>
      </w:r>
      <w:r w:rsidR="00525DC3">
        <w:t xml:space="preserve">edacted confidential information regarding </w:t>
      </w:r>
      <w:smartTag w:uri="urn:schemas-microsoft-com:office:smarttags" w:element="place">
        <w:smartTag w:uri="urn:schemas-microsoft-com:office:smarttags" w:element="PlaceType">
          <w:r w:rsidR="00525DC3">
            <w:t>Ocean</w:t>
          </w:r>
        </w:smartTag>
        <w:r w:rsidR="00525DC3">
          <w:t xml:space="preserve"> </w:t>
        </w:r>
        <w:smartTag w:uri="urn:schemas-microsoft-com:office:smarttags" w:element="PlaceType">
          <w:r w:rsidR="00525DC3">
            <w:t>Bay</w:t>
          </w:r>
        </w:smartTag>
      </w:smartTag>
      <w:r w:rsidR="00525DC3">
        <w:t xml:space="preserve"> </w:t>
      </w:r>
      <w:r w:rsidR="00DD3B21">
        <w:t>payments</w:t>
      </w:r>
      <w:r w:rsidR="00525DC3">
        <w:t>]</w:t>
      </w:r>
      <w:r w:rsidR="00DD3B21">
        <w:t>.</w:t>
      </w:r>
      <w:r w:rsidR="00D17D07" w:rsidRPr="009C3954">
        <w:rPr>
          <w:rStyle w:val="FootnoteReference"/>
          <w:sz w:val="22"/>
          <w:szCs w:val="22"/>
        </w:rPr>
        <w:footnoteReference w:id="26"/>
      </w:r>
    </w:p>
    <w:p w:rsidR="007E1990" w:rsidRPr="007E1990" w:rsidRDefault="007E1990" w:rsidP="00E856EA">
      <w:pPr>
        <w:pStyle w:val="Heading2"/>
        <w:widowControl/>
        <w:tabs>
          <w:tab w:val="clear" w:pos="1530"/>
          <w:tab w:val="num" w:pos="1440"/>
        </w:tabs>
        <w:ind w:left="1440"/>
        <w:jc w:val="left"/>
        <w:rPr>
          <w:bCs/>
          <w:szCs w:val="22"/>
        </w:rPr>
      </w:pPr>
      <w:r>
        <w:rPr>
          <w:bCs/>
          <w:szCs w:val="22"/>
        </w:rPr>
        <w:t xml:space="preserve">Sancom’s </w:t>
      </w:r>
      <w:r w:rsidR="000928DD">
        <w:rPr>
          <w:bCs/>
          <w:szCs w:val="22"/>
        </w:rPr>
        <w:t xml:space="preserve">Interstate Access Service </w:t>
      </w:r>
      <w:r>
        <w:rPr>
          <w:bCs/>
          <w:szCs w:val="22"/>
        </w:rPr>
        <w:t>Tariff</w:t>
      </w:r>
    </w:p>
    <w:p w:rsidR="00247AC6" w:rsidRDefault="004C6327" w:rsidP="00E856EA">
      <w:pPr>
        <w:pStyle w:val="ParaNum"/>
        <w:widowControl/>
        <w:tabs>
          <w:tab w:val="clear" w:pos="1260"/>
        </w:tabs>
        <w:ind w:left="0"/>
        <w:jc w:val="left"/>
        <w:rPr>
          <w:szCs w:val="22"/>
        </w:rPr>
      </w:pPr>
      <w:r w:rsidRPr="009C3954">
        <w:rPr>
          <w:szCs w:val="22"/>
        </w:rPr>
        <w:t xml:space="preserve">On January 31, 2005, Sancom filed with the Commission </w:t>
      </w:r>
      <w:r w:rsidR="00247AC6">
        <w:rPr>
          <w:szCs w:val="22"/>
        </w:rPr>
        <w:t>its</w:t>
      </w:r>
      <w:r w:rsidRPr="009C3954">
        <w:rPr>
          <w:szCs w:val="22"/>
        </w:rPr>
        <w:t xml:space="preserve"> interstate access service tariff</w:t>
      </w:r>
      <w:r w:rsidR="00247AC6">
        <w:rPr>
          <w:szCs w:val="22"/>
        </w:rPr>
        <w:t>, which</w:t>
      </w:r>
      <w:r w:rsidRPr="009C3954">
        <w:rPr>
          <w:szCs w:val="22"/>
        </w:rPr>
        <w:t xml:space="preserve"> became effective the next day, February 1, 2005.</w:t>
      </w:r>
      <w:r w:rsidRPr="009C3954">
        <w:rPr>
          <w:rStyle w:val="FootnoteReference"/>
          <w:sz w:val="22"/>
          <w:szCs w:val="22"/>
        </w:rPr>
        <w:footnoteReference w:id="27"/>
      </w:r>
      <w:r w:rsidRPr="009C3954">
        <w:rPr>
          <w:szCs w:val="22"/>
        </w:rPr>
        <w:t xml:space="preserve">  During the period relevant to this case, the Tariff set forth the “regulations, rates and charges applicable to the provision of End User Access, Switched Access and other miscellaneous services ....”</w:t>
      </w:r>
      <w:r w:rsidRPr="009C3954">
        <w:rPr>
          <w:rStyle w:val="FootnoteReference"/>
          <w:sz w:val="22"/>
          <w:szCs w:val="22"/>
        </w:rPr>
        <w:footnoteReference w:id="28"/>
      </w:r>
      <w:r w:rsidRPr="009C3954">
        <w:rPr>
          <w:szCs w:val="22"/>
        </w:rPr>
        <w:t xml:space="preserve">  </w:t>
      </w:r>
      <w:r w:rsidR="00247AC6">
        <w:rPr>
          <w:szCs w:val="22"/>
        </w:rPr>
        <w:t>Under the Tariff:</w:t>
      </w:r>
    </w:p>
    <w:p w:rsidR="004C6327" w:rsidRPr="009C3954" w:rsidRDefault="004C6327" w:rsidP="00E856EA">
      <w:pPr>
        <w:pStyle w:val="ParaNum"/>
        <w:widowControl/>
        <w:numPr>
          <w:ilvl w:val="0"/>
          <w:numId w:val="0"/>
        </w:numPr>
        <w:ind w:left="1440" w:right="1440"/>
        <w:jc w:val="left"/>
        <w:rPr>
          <w:szCs w:val="22"/>
        </w:rPr>
      </w:pPr>
      <w:r w:rsidRPr="009C3954">
        <w:rPr>
          <w:szCs w:val="22"/>
        </w:rPr>
        <w:t>Switched Access</w:t>
      </w:r>
      <w:r w:rsidR="00247AC6">
        <w:rPr>
          <w:szCs w:val="22"/>
        </w:rPr>
        <w:t xml:space="preserve"> Service, which is </w:t>
      </w:r>
      <w:r w:rsidRPr="009C3954">
        <w:rPr>
          <w:szCs w:val="22"/>
        </w:rPr>
        <w:t>available to</w:t>
      </w:r>
      <w:r w:rsidR="001A02BB">
        <w:rPr>
          <w:szCs w:val="22"/>
        </w:rPr>
        <w:t xml:space="preserve"> customers</w:t>
      </w:r>
      <w:r w:rsidRPr="009C3954">
        <w:rPr>
          <w:szCs w:val="22"/>
        </w:rPr>
        <w:t xml:space="preserve"> for their use in furnishing their services to </w:t>
      </w:r>
      <w:r w:rsidRPr="009C3954">
        <w:rPr>
          <w:i/>
          <w:szCs w:val="22"/>
        </w:rPr>
        <w:t>end users</w:t>
      </w:r>
      <w:r w:rsidRPr="009C3954">
        <w:rPr>
          <w:szCs w:val="22"/>
        </w:rPr>
        <w:t xml:space="preserve">, provides a two-point communications path between a customer designated premises and an </w:t>
      </w:r>
      <w:r w:rsidRPr="009C3954">
        <w:rPr>
          <w:i/>
          <w:szCs w:val="22"/>
        </w:rPr>
        <w:t>end user’s</w:t>
      </w:r>
      <w:r w:rsidRPr="009C3954">
        <w:rPr>
          <w:szCs w:val="22"/>
        </w:rPr>
        <w:t xml:space="preserve"> premises, ... provides</w:t>
      </w:r>
      <w:r w:rsidR="00247AC6">
        <w:rPr>
          <w:szCs w:val="22"/>
        </w:rPr>
        <w:t xml:space="preserve"> for</w:t>
      </w:r>
      <w:r w:rsidRPr="009C3954">
        <w:rPr>
          <w:szCs w:val="22"/>
        </w:rPr>
        <w:t xml:space="preserve"> the ability to originate calls from an </w:t>
      </w:r>
      <w:r w:rsidRPr="009C3954">
        <w:rPr>
          <w:i/>
          <w:szCs w:val="22"/>
        </w:rPr>
        <w:t>end user’s</w:t>
      </w:r>
      <w:r w:rsidRPr="009C3954">
        <w:rPr>
          <w:szCs w:val="22"/>
        </w:rPr>
        <w:t xml:space="preserve"> premises to a customer designated premises, and to terminate calls from a customer designated premises to an </w:t>
      </w:r>
      <w:r w:rsidRPr="009C3954">
        <w:rPr>
          <w:i/>
          <w:szCs w:val="22"/>
        </w:rPr>
        <w:t>end user’s</w:t>
      </w:r>
      <w:r w:rsidRPr="009C3954">
        <w:rPr>
          <w:szCs w:val="22"/>
        </w:rPr>
        <w:t xml:space="preserve"> premises in the LATA where it is provided ….</w:t>
      </w:r>
      <w:r w:rsidRPr="009C3954">
        <w:rPr>
          <w:rStyle w:val="FootnoteReference"/>
          <w:sz w:val="22"/>
          <w:szCs w:val="22"/>
        </w:rPr>
        <w:footnoteReference w:id="29"/>
      </w:r>
    </w:p>
    <w:p w:rsidR="00406F51" w:rsidRDefault="004C6327" w:rsidP="00E856EA">
      <w:pPr>
        <w:pStyle w:val="ParaNum"/>
        <w:widowControl/>
        <w:numPr>
          <w:ilvl w:val="0"/>
          <w:numId w:val="0"/>
        </w:numPr>
        <w:jc w:val="left"/>
        <w:rPr>
          <w:szCs w:val="22"/>
        </w:rPr>
      </w:pPr>
      <w:r w:rsidRPr="009C3954">
        <w:rPr>
          <w:szCs w:val="22"/>
        </w:rPr>
        <w:t xml:space="preserve">The Tariff defines “end user,” in </w:t>
      </w:r>
      <w:r w:rsidR="001A02BB">
        <w:rPr>
          <w:szCs w:val="22"/>
        </w:rPr>
        <w:t xml:space="preserve">turn, </w:t>
      </w:r>
      <w:r w:rsidRPr="009C3954">
        <w:rPr>
          <w:szCs w:val="22"/>
        </w:rPr>
        <w:t>as “any customer of an interstate or foreign telecommunications service that is not a carrier ….”</w:t>
      </w:r>
      <w:r w:rsidRPr="009C3954">
        <w:rPr>
          <w:rStyle w:val="FootnoteReference"/>
          <w:sz w:val="22"/>
          <w:szCs w:val="22"/>
        </w:rPr>
        <w:footnoteReference w:id="30"/>
      </w:r>
      <w:r w:rsidRPr="009C3954">
        <w:rPr>
          <w:szCs w:val="22"/>
        </w:rPr>
        <w:t xml:space="preserve">  A “customer” is “any individual, partnership, association, joint-stock company, trust, corporation, or governmental entity or other entity which subscribes to the services offered under this </w:t>
      </w:r>
      <w:r w:rsidR="00CD7056">
        <w:rPr>
          <w:szCs w:val="22"/>
        </w:rPr>
        <w:t>[T]</w:t>
      </w:r>
      <w:r w:rsidRPr="009C3954">
        <w:rPr>
          <w:szCs w:val="22"/>
        </w:rPr>
        <w:t xml:space="preserve">ariff, including both </w:t>
      </w:r>
      <w:r w:rsidR="001E57E7">
        <w:rPr>
          <w:szCs w:val="22"/>
        </w:rPr>
        <w:t>[IXCs]</w:t>
      </w:r>
      <w:r w:rsidRPr="009C3954">
        <w:rPr>
          <w:szCs w:val="22"/>
        </w:rPr>
        <w:t xml:space="preserve"> and </w:t>
      </w:r>
      <w:r w:rsidRPr="009C3954">
        <w:rPr>
          <w:i/>
          <w:szCs w:val="22"/>
        </w:rPr>
        <w:t>End Users</w:t>
      </w:r>
      <w:r w:rsidRPr="009C3954">
        <w:rPr>
          <w:szCs w:val="22"/>
        </w:rPr>
        <w:t>.”</w:t>
      </w:r>
      <w:r w:rsidRPr="009C3954">
        <w:rPr>
          <w:rStyle w:val="FootnoteReference"/>
          <w:rFonts w:cs="TimesNewRoman"/>
          <w:sz w:val="22"/>
          <w:szCs w:val="22"/>
        </w:rPr>
        <w:footnoteReference w:id="31"/>
      </w:r>
    </w:p>
    <w:p w:rsidR="00D90327" w:rsidRPr="00D90327" w:rsidRDefault="004C6327" w:rsidP="00E856EA">
      <w:pPr>
        <w:pStyle w:val="ParaNum"/>
        <w:widowControl/>
        <w:tabs>
          <w:tab w:val="clear" w:pos="1260"/>
        </w:tabs>
        <w:ind w:left="0"/>
        <w:jc w:val="left"/>
        <w:rPr>
          <w:szCs w:val="22"/>
        </w:rPr>
      </w:pPr>
      <w:r w:rsidRPr="009C3954">
        <w:t>With regard to billing, the Tariff provides that Sancom “</w:t>
      </w:r>
      <w:r w:rsidRPr="009C3954">
        <w:rPr>
          <w:i/>
        </w:rPr>
        <w:t>shall bill</w:t>
      </w:r>
      <w:r w:rsidRPr="009C3954">
        <w:t xml:space="preserve"> on a current basis all charges incurred by and credits due to the customer under this tariff” and that Sancom will “establish a bill day </w:t>
      </w:r>
      <w:r w:rsidRPr="009C3954">
        <w:rPr>
          <w:i/>
        </w:rPr>
        <w:t>each month</w:t>
      </w:r>
      <w:r w:rsidRPr="009C3954">
        <w:t xml:space="preserve"> for each customer account or advise the customer in writing of an alternate billing schedule.”</w:t>
      </w:r>
      <w:r w:rsidRPr="009C3954">
        <w:rPr>
          <w:rStyle w:val="FootnoteReference"/>
          <w:sz w:val="22"/>
          <w:szCs w:val="22"/>
        </w:rPr>
        <w:footnoteReference w:id="32"/>
      </w:r>
      <w:r w:rsidRPr="009C3954">
        <w:t xml:space="preserve">  The Tariff also requires Sancom to apply the federal Universal Service charge “</w:t>
      </w:r>
      <w:r w:rsidRPr="009C3954">
        <w:rPr>
          <w:i/>
        </w:rPr>
        <w:t>each month</w:t>
      </w:r>
      <w:r w:rsidRPr="009C3954">
        <w:t xml:space="preserve"> to the billed charges for interstate access services provided to end users from this Tariff</w:t>
      </w:r>
      <w:r w:rsidR="00CD7056">
        <w:t>.</w:t>
      </w:r>
      <w:r w:rsidRPr="009C3954">
        <w:t>”</w:t>
      </w:r>
      <w:r w:rsidRPr="009C3954">
        <w:rPr>
          <w:rStyle w:val="FootnoteReference"/>
          <w:sz w:val="22"/>
          <w:szCs w:val="22"/>
        </w:rPr>
        <w:footnoteReference w:id="33"/>
      </w:r>
    </w:p>
    <w:p w:rsidR="004C6327" w:rsidRDefault="004C6327" w:rsidP="00E856EA">
      <w:pPr>
        <w:pStyle w:val="ParaNum"/>
        <w:widowControl/>
        <w:tabs>
          <w:tab w:val="clear" w:pos="1260"/>
        </w:tabs>
        <w:ind w:left="0"/>
        <w:jc w:val="left"/>
        <w:rPr>
          <w:szCs w:val="22"/>
        </w:rPr>
      </w:pPr>
      <w:r w:rsidRPr="009C3954">
        <w:t xml:space="preserve">Neither of </w:t>
      </w:r>
      <w:bookmarkStart w:id="19" w:name="OLE_LINK25"/>
      <w:bookmarkStart w:id="20" w:name="OLE_LINK26"/>
      <w:r w:rsidRPr="009C3954">
        <w:t>the Free Calling Companies</w:t>
      </w:r>
      <w:bookmarkEnd w:id="19"/>
      <w:bookmarkEnd w:id="20"/>
      <w:r w:rsidRPr="009C3954">
        <w:t xml:space="preserve">’ agreements with Sancom describes charges that Free Conferencing and </w:t>
      </w:r>
      <w:smartTag w:uri="urn:schemas-microsoft-com:office:smarttags" w:element="place">
        <w:smartTag w:uri="urn:schemas-microsoft-com:office:smarttags" w:element="PlaceType">
          <w:r w:rsidRPr="009C3954">
            <w:t>Ocean</w:t>
          </w:r>
        </w:smartTag>
        <w:r w:rsidRPr="009C3954">
          <w:t xml:space="preserve"> </w:t>
        </w:r>
        <w:smartTag w:uri="urn:schemas-microsoft-com:office:smarttags" w:element="PlaceType">
          <w:r w:rsidRPr="009C3954">
            <w:t>Bay</w:t>
          </w:r>
        </w:smartTag>
      </w:smartTag>
      <w:r w:rsidRPr="009C3954">
        <w:t xml:space="preserve"> would pay monthly (or otherwise) to Sancom for telecommunications services.  </w:t>
      </w:r>
      <w:r w:rsidR="00332AF3" w:rsidRPr="009C3954">
        <w:rPr>
          <w:szCs w:val="22"/>
        </w:rPr>
        <w:t>The only rates set forth in these agreements are fees that Sancom would pay to the Free Calling Companies.</w:t>
      </w:r>
      <w:r w:rsidR="00332AF3" w:rsidRPr="009C3954">
        <w:rPr>
          <w:rStyle w:val="FootnoteReference"/>
          <w:iCs/>
          <w:sz w:val="22"/>
          <w:szCs w:val="22"/>
        </w:rPr>
        <w:footnoteReference w:id="34"/>
      </w:r>
    </w:p>
    <w:p w:rsidR="000928DD" w:rsidRPr="000928DD" w:rsidRDefault="000928DD" w:rsidP="00E856EA">
      <w:pPr>
        <w:pStyle w:val="Heading2"/>
        <w:widowControl/>
        <w:tabs>
          <w:tab w:val="clear" w:pos="1530"/>
          <w:tab w:val="num" w:pos="1440"/>
        </w:tabs>
        <w:ind w:left="1440"/>
        <w:jc w:val="left"/>
        <w:rPr>
          <w:bCs/>
          <w:szCs w:val="22"/>
        </w:rPr>
      </w:pPr>
      <w:r>
        <w:rPr>
          <w:bCs/>
          <w:szCs w:val="22"/>
        </w:rPr>
        <w:t>The District Court Litigation</w:t>
      </w:r>
    </w:p>
    <w:p w:rsidR="00194837" w:rsidRDefault="009649CA" w:rsidP="00E856EA">
      <w:pPr>
        <w:pStyle w:val="ParaNum"/>
        <w:widowControl/>
        <w:tabs>
          <w:tab w:val="clear" w:pos="1260"/>
          <w:tab w:val="num" w:pos="1440"/>
        </w:tabs>
        <w:ind w:left="0"/>
        <w:jc w:val="left"/>
        <w:rPr>
          <w:szCs w:val="22"/>
        </w:rPr>
      </w:pPr>
      <w:r>
        <w:rPr>
          <w:szCs w:val="22"/>
        </w:rPr>
        <w:t>O</w:t>
      </w:r>
      <w:r w:rsidRPr="009649CA">
        <w:rPr>
          <w:szCs w:val="22"/>
        </w:rPr>
        <w:t xml:space="preserve">n October 9, 2007, Sancom </w:t>
      </w:r>
      <w:r w:rsidR="00017581">
        <w:rPr>
          <w:szCs w:val="22"/>
        </w:rPr>
        <w:t>sued</w:t>
      </w:r>
      <w:r w:rsidR="00793476">
        <w:rPr>
          <w:szCs w:val="22"/>
        </w:rPr>
        <w:t xml:space="preserve"> Qwest, seeking to recover the access charges Qwest refused to pay.  Sancom’s complaint against Qwest</w:t>
      </w:r>
      <w:r w:rsidRPr="009649CA">
        <w:rPr>
          <w:szCs w:val="22"/>
        </w:rPr>
        <w:t xml:space="preserve"> alleg</w:t>
      </w:r>
      <w:r w:rsidR="00793476">
        <w:rPr>
          <w:szCs w:val="22"/>
        </w:rPr>
        <w:t>ed</w:t>
      </w:r>
      <w:r w:rsidRPr="009649CA">
        <w:rPr>
          <w:szCs w:val="22"/>
        </w:rPr>
        <w:t xml:space="preserve"> breach of contract (Count I), breach of implied contract resulting from violation of tariffs (Count</w:t>
      </w:r>
      <w:r w:rsidR="00017581">
        <w:rPr>
          <w:szCs w:val="22"/>
        </w:rPr>
        <w:t> </w:t>
      </w:r>
      <w:r w:rsidRPr="009649CA">
        <w:rPr>
          <w:szCs w:val="22"/>
        </w:rPr>
        <w:t>II), unjust enrichment (Count III), tortious interference with business relations (Count IV), violation of the South Dakota Deceptive Trade Practices and Consumer Protection Act (Count V), violation of section 201(b) of the Act (Count VI), and civil conspiracy (Count VII).</w:t>
      </w:r>
      <w:r w:rsidR="00793476">
        <w:rPr>
          <w:rStyle w:val="FootnoteReference"/>
          <w:szCs w:val="22"/>
        </w:rPr>
        <w:footnoteReference w:id="35"/>
      </w:r>
      <w:r w:rsidRPr="009649CA">
        <w:rPr>
          <w:szCs w:val="22"/>
        </w:rPr>
        <w:t xml:space="preserve">  </w:t>
      </w:r>
      <w:r w:rsidR="00194837" w:rsidRPr="009649CA">
        <w:rPr>
          <w:szCs w:val="22"/>
        </w:rPr>
        <w:t>On November 6, 2007, Qwest filed counterclaims</w:t>
      </w:r>
      <w:r w:rsidR="00194837">
        <w:rPr>
          <w:szCs w:val="22"/>
        </w:rPr>
        <w:t xml:space="preserve"> </w:t>
      </w:r>
      <w:r w:rsidR="00194837" w:rsidRPr="009649CA">
        <w:rPr>
          <w:szCs w:val="22"/>
        </w:rPr>
        <w:t>with the Court.</w:t>
      </w:r>
      <w:r w:rsidR="00194837">
        <w:rPr>
          <w:rStyle w:val="FootnoteReference"/>
          <w:szCs w:val="22"/>
        </w:rPr>
        <w:footnoteReference w:id="36"/>
      </w:r>
      <w:r w:rsidR="00194837" w:rsidRPr="009649CA">
        <w:rPr>
          <w:szCs w:val="22"/>
        </w:rPr>
        <w:t xml:space="preserve"> </w:t>
      </w:r>
      <w:r w:rsidR="00194837">
        <w:rPr>
          <w:szCs w:val="22"/>
        </w:rPr>
        <w:t xml:space="preserve"> The</w:t>
      </w:r>
      <w:r w:rsidR="00194837" w:rsidRPr="009649CA">
        <w:rPr>
          <w:szCs w:val="22"/>
        </w:rPr>
        <w:t xml:space="preserve"> counterclaims allege</w:t>
      </w:r>
      <w:r w:rsidR="001C3917">
        <w:rPr>
          <w:szCs w:val="22"/>
        </w:rPr>
        <w:t>d</w:t>
      </w:r>
      <w:r w:rsidR="00194837" w:rsidRPr="009649CA">
        <w:rPr>
          <w:szCs w:val="22"/>
        </w:rPr>
        <w:t xml:space="preserve"> violations of section 201(b) of the Act (Counts I and II), section 203 of the Act (Count III), common law unfair competition (Count IV), breach of contract (Count V), tortious interference with contract (Count VI), civil conspiracy (Count VII), </w:t>
      </w:r>
      <w:r w:rsidR="00194837">
        <w:rPr>
          <w:szCs w:val="22"/>
        </w:rPr>
        <w:t xml:space="preserve">and </w:t>
      </w:r>
      <w:r w:rsidR="00194837" w:rsidRPr="009649CA">
        <w:rPr>
          <w:szCs w:val="22"/>
        </w:rPr>
        <w:t>unjust enrichment (Count VIII)</w:t>
      </w:r>
      <w:r w:rsidR="00194837">
        <w:rPr>
          <w:szCs w:val="22"/>
        </w:rPr>
        <w:t>.</w:t>
      </w:r>
      <w:r w:rsidR="00194837">
        <w:rPr>
          <w:rStyle w:val="FootnoteReference"/>
          <w:szCs w:val="22"/>
        </w:rPr>
        <w:footnoteReference w:id="37"/>
      </w:r>
      <w:r w:rsidR="00194837">
        <w:rPr>
          <w:szCs w:val="22"/>
        </w:rPr>
        <w:t xml:space="preserve">  The counterclaims also</w:t>
      </w:r>
      <w:r w:rsidR="00194837" w:rsidRPr="009649CA">
        <w:rPr>
          <w:szCs w:val="22"/>
        </w:rPr>
        <w:t xml:space="preserve"> include</w:t>
      </w:r>
      <w:r w:rsidR="001C3917">
        <w:rPr>
          <w:szCs w:val="22"/>
        </w:rPr>
        <w:t>d</w:t>
      </w:r>
      <w:r w:rsidR="00194837" w:rsidRPr="009649CA">
        <w:rPr>
          <w:szCs w:val="22"/>
        </w:rPr>
        <w:t xml:space="preserve"> a req</w:t>
      </w:r>
      <w:r w:rsidR="007A736C">
        <w:rPr>
          <w:szCs w:val="22"/>
        </w:rPr>
        <w:t>uest for declaratory judgment (C</w:t>
      </w:r>
      <w:r w:rsidR="00194837" w:rsidRPr="009649CA">
        <w:rPr>
          <w:szCs w:val="22"/>
        </w:rPr>
        <w:t>ount IX).</w:t>
      </w:r>
      <w:r w:rsidR="00194837">
        <w:rPr>
          <w:rStyle w:val="FootnoteReference"/>
          <w:szCs w:val="22"/>
        </w:rPr>
        <w:footnoteReference w:id="38"/>
      </w:r>
    </w:p>
    <w:p w:rsidR="009649CA" w:rsidRDefault="001C3917" w:rsidP="00E856EA">
      <w:pPr>
        <w:pStyle w:val="ParaNum"/>
        <w:widowControl/>
        <w:tabs>
          <w:tab w:val="clear" w:pos="1260"/>
          <w:tab w:val="num" w:pos="1440"/>
        </w:tabs>
        <w:ind w:left="0"/>
        <w:jc w:val="left"/>
        <w:rPr>
          <w:szCs w:val="22"/>
        </w:rPr>
      </w:pPr>
      <w:r>
        <w:rPr>
          <w:szCs w:val="22"/>
        </w:rPr>
        <w:t xml:space="preserve">On June 19, 2009, </w:t>
      </w:r>
      <w:r w:rsidR="009649CA" w:rsidRPr="009649CA">
        <w:rPr>
          <w:szCs w:val="22"/>
        </w:rPr>
        <w:t>the Court gra</w:t>
      </w:r>
      <w:r>
        <w:rPr>
          <w:szCs w:val="22"/>
        </w:rPr>
        <w:t>nted Qwest’s motion to dismiss C</w:t>
      </w:r>
      <w:r w:rsidR="009649CA" w:rsidRPr="009649CA">
        <w:rPr>
          <w:szCs w:val="22"/>
        </w:rPr>
        <w:t>ounts III, IV, V, and VII (the non-tariff claims), holding that these claims were barred by the filed-rate doctrine.</w:t>
      </w:r>
      <w:r w:rsidR="00E36098">
        <w:rPr>
          <w:rStyle w:val="FootnoteReference"/>
          <w:szCs w:val="22"/>
        </w:rPr>
        <w:footnoteReference w:id="39"/>
      </w:r>
      <w:r w:rsidR="009649CA" w:rsidRPr="009649CA">
        <w:rPr>
          <w:szCs w:val="22"/>
        </w:rPr>
        <w:t xml:space="preserve">  </w:t>
      </w:r>
      <w:r w:rsidR="00B80BD6">
        <w:t>On June 26, 2009, Sancom moved for summary judgment on its breach of tariff claim.</w:t>
      </w:r>
      <w:r w:rsidR="00B80BD6">
        <w:rPr>
          <w:rStyle w:val="FootnoteReference"/>
        </w:rPr>
        <w:footnoteReference w:id="40"/>
      </w:r>
      <w:r w:rsidR="000E3973">
        <w:t xml:space="preserve">  </w:t>
      </w:r>
      <w:r w:rsidR="00B80BD6">
        <w:t>Sancom subsequently moved to stay the court proceeding and for the Court to refer three issues to the Commission under the doctrine of primary jurisdiction.</w:t>
      </w:r>
      <w:r w:rsidR="00ED5CB9">
        <w:rPr>
          <w:rStyle w:val="FootnoteReference"/>
        </w:rPr>
        <w:footnoteReference w:id="41"/>
      </w:r>
      <w:r w:rsidR="00B80BD6">
        <w:t xml:space="preserve"> </w:t>
      </w:r>
      <w:r w:rsidR="006B0B68">
        <w:t xml:space="preserve"> </w:t>
      </w:r>
      <w:r w:rsidR="00B80BD6">
        <w:t xml:space="preserve">On March 12, 2010, the Court granted Sancom’s </w:t>
      </w:r>
      <w:r w:rsidR="00FD76D4">
        <w:t xml:space="preserve">request, </w:t>
      </w:r>
      <w:r w:rsidR="0029069E">
        <w:t>asking</w:t>
      </w:r>
      <w:r w:rsidR="00FD76D4">
        <w:t xml:space="preserve"> the </w:t>
      </w:r>
      <w:r w:rsidR="00B80BD6">
        <w:t>Commission to resolve</w:t>
      </w:r>
      <w:r w:rsidR="00B80BD6" w:rsidRPr="00CB066E">
        <w:t>: (1) whether</w:t>
      </w:r>
      <w:r w:rsidR="0077719D">
        <w:t xml:space="preserve"> the</w:t>
      </w:r>
      <w:r w:rsidR="00B80BD6" w:rsidRPr="00CB066E">
        <w:t xml:space="preserve"> traffic billed to </w:t>
      </w:r>
      <w:r w:rsidR="00B80BD6">
        <w:t>Qwest</w:t>
      </w:r>
      <w:r w:rsidR="00B80BD6" w:rsidRPr="00CB066E">
        <w:t xml:space="preserve"> falls within the terms of Sancom’s </w:t>
      </w:r>
      <w:r w:rsidR="00FD76D4">
        <w:t>Tariff</w:t>
      </w:r>
      <w:r w:rsidR="00B222E5">
        <w:t>;</w:t>
      </w:r>
      <w:r w:rsidR="00B80BD6" w:rsidRPr="00CB066E">
        <w:t xml:space="preserve"> (2) if not, whether Sancom nonetheless is entitled to obtain compensation for these services; and </w:t>
      </w:r>
      <w:r w:rsidR="00B80BD6">
        <w:t>(3) if so, at what rate.</w:t>
      </w:r>
      <w:r w:rsidR="00B80BD6">
        <w:rPr>
          <w:rStyle w:val="FootnoteReference"/>
          <w:szCs w:val="24"/>
        </w:rPr>
        <w:footnoteReference w:id="42"/>
      </w:r>
      <w:r w:rsidR="00B80BD6">
        <w:t xml:space="preserve">  </w:t>
      </w:r>
      <w:r w:rsidR="009649CA" w:rsidRPr="009649CA">
        <w:rPr>
          <w:szCs w:val="22"/>
        </w:rPr>
        <w:t xml:space="preserve">Because </w:t>
      </w:r>
      <w:r w:rsidR="00B20032">
        <w:rPr>
          <w:szCs w:val="22"/>
        </w:rPr>
        <w:t xml:space="preserve">the parties took </w:t>
      </w:r>
      <w:r w:rsidR="009649CA" w:rsidRPr="009649CA">
        <w:rPr>
          <w:szCs w:val="22"/>
        </w:rPr>
        <w:t xml:space="preserve">extensive discovery in the Court litigation </w:t>
      </w:r>
      <w:r w:rsidR="00B20032">
        <w:rPr>
          <w:szCs w:val="22"/>
        </w:rPr>
        <w:t xml:space="preserve">and requested no discovery in this proceeding, </w:t>
      </w:r>
      <w:r w:rsidR="009649CA" w:rsidRPr="009649CA">
        <w:rPr>
          <w:szCs w:val="22"/>
        </w:rPr>
        <w:t xml:space="preserve">Commission staff determined </w:t>
      </w:r>
      <w:r w:rsidR="00B20032">
        <w:rPr>
          <w:szCs w:val="22"/>
        </w:rPr>
        <w:t xml:space="preserve">that a </w:t>
      </w:r>
      <w:r w:rsidR="009649CA" w:rsidRPr="009649CA">
        <w:rPr>
          <w:szCs w:val="22"/>
        </w:rPr>
        <w:t xml:space="preserve">status conference was </w:t>
      </w:r>
      <w:r w:rsidR="00B222E5">
        <w:rPr>
          <w:szCs w:val="22"/>
        </w:rPr>
        <w:t>un</w:t>
      </w:r>
      <w:r w:rsidR="009649CA" w:rsidRPr="009649CA">
        <w:rPr>
          <w:szCs w:val="22"/>
        </w:rPr>
        <w:t>necessary.</w:t>
      </w:r>
      <w:r w:rsidR="00B76AC4">
        <w:rPr>
          <w:rStyle w:val="FootnoteReference"/>
          <w:szCs w:val="22"/>
        </w:rPr>
        <w:footnoteReference w:id="43"/>
      </w:r>
    </w:p>
    <w:p w:rsidR="003C1821" w:rsidRPr="003C1821" w:rsidRDefault="003C1821" w:rsidP="00E856EA">
      <w:pPr>
        <w:pStyle w:val="Heading2"/>
        <w:widowControl/>
        <w:tabs>
          <w:tab w:val="clear" w:pos="1530"/>
          <w:tab w:val="num" w:pos="1440"/>
        </w:tabs>
        <w:ind w:left="1440"/>
        <w:jc w:val="left"/>
        <w:rPr>
          <w:bCs/>
          <w:szCs w:val="22"/>
        </w:rPr>
      </w:pPr>
      <w:r>
        <w:rPr>
          <w:bCs/>
          <w:i/>
          <w:szCs w:val="22"/>
        </w:rPr>
        <w:t>Qwest v. Farmers</w:t>
      </w:r>
    </w:p>
    <w:p w:rsidR="00406F51" w:rsidRPr="009C3954" w:rsidRDefault="00D118BB" w:rsidP="00E856EA">
      <w:pPr>
        <w:pStyle w:val="ParaNum"/>
        <w:widowControl/>
        <w:tabs>
          <w:tab w:val="clear" w:pos="1260"/>
        </w:tabs>
        <w:ind w:left="0"/>
        <w:jc w:val="left"/>
        <w:rPr>
          <w:szCs w:val="22"/>
        </w:rPr>
      </w:pPr>
      <w:r>
        <w:rPr>
          <w:iCs/>
          <w:szCs w:val="22"/>
        </w:rPr>
        <w:t>T</w:t>
      </w:r>
      <w:r w:rsidR="005F273F">
        <w:rPr>
          <w:iCs/>
          <w:szCs w:val="22"/>
        </w:rPr>
        <w:t>his case is materially similar</w:t>
      </w:r>
      <w:r w:rsidR="002F5C22">
        <w:rPr>
          <w:iCs/>
          <w:szCs w:val="22"/>
        </w:rPr>
        <w:t xml:space="preserve"> to</w:t>
      </w:r>
      <w:r w:rsidR="0029069E">
        <w:rPr>
          <w:iCs/>
          <w:szCs w:val="22"/>
        </w:rPr>
        <w:t xml:space="preserve"> and controlled by </w:t>
      </w:r>
      <w:r w:rsidR="005F273F">
        <w:rPr>
          <w:iCs/>
          <w:szCs w:val="22"/>
        </w:rPr>
        <w:t xml:space="preserve">another </w:t>
      </w:r>
      <w:r w:rsidR="0082720D" w:rsidRPr="009C3954">
        <w:rPr>
          <w:iCs/>
          <w:szCs w:val="22"/>
        </w:rPr>
        <w:t xml:space="preserve">access stimulation proceeding – </w:t>
      </w:r>
      <w:r w:rsidR="0082720D" w:rsidRPr="009C3954">
        <w:rPr>
          <w:i/>
          <w:iCs/>
          <w:szCs w:val="22"/>
        </w:rPr>
        <w:t>Qwest v. Farmers</w:t>
      </w:r>
      <w:r w:rsidR="0082720D" w:rsidRPr="009C3954">
        <w:rPr>
          <w:iCs/>
          <w:szCs w:val="22"/>
        </w:rPr>
        <w:t>.</w:t>
      </w:r>
      <w:r w:rsidR="0082720D" w:rsidRPr="009C3954">
        <w:rPr>
          <w:rStyle w:val="FootnoteReference"/>
          <w:iCs/>
          <w:sz w:val="22"/>
          <w:szCs w:val="22"/>
        </w:rPr>
        <w:footnoteReference w:id="44"/>
      </w:r>
      <w:r w:rsidR="0082720D" w:rsidRPr="009C3954">
        <w:rPr>
          <w:iCs/>
          <w:szCs w:val="22"/>
        </w:rPr>
        <w:t xml:space="preserve">  </w:t>
      </w:r>
      <w:r w:rsidR="00406F51">
        <w:rPr>
          <w:iCs/>
          <w:szCs w:val="22"/>
        </w:rPr>
        <w:t>Indeed, t</w:t>
      </w:r>
      <w:r w:rsidR="00406F51" w:rsidRPr="009C3954">
        <w:rPr>
          <w:rFonts w:cs="TimesNewRoman"/>
          <w:szCs w:val="22"/>
        </w:rPr>
        <w:t xml:space="preserve">he Tariff’s definitions of “end user” and “customer” are identical to the definitions at issue in </w:t>
      </w:r>
      <w:r w:rsidR="00406F51" w:rsidRPr="009C3954">
        <w:rPr>
          <w:i/>
          <w:szCs w:val="22"/>
        </w:rPr>
        <w:t>Qwest v. Farmers</w:t>
      </w:r>
      <w:r w:rsidR="00406F51" w:rsidRPr="009C3954">
        <w:rPr>
          <w:szCs w:val="22"/>
        </w:rPr>
        <w:t>.</w:t>
      </w:r>
      <w:r w:rsidR="00406F51" w:rsidRPr="009C3954">
        <w:rPr>
          <w:rStyle w:val="FootnoteReference"/>
          <w:sz w:val="22"/>
          <w:szCs w:val="22"/>
        </w:rPr>
        <w:footnoteReference w:id="45"/>
      </w:r>
    </w:p>
    <w:p w:rsidR="00666AF7" w:rsidRDefault="0082720D" w:rsidP="00E856EA">
      <w:pPr>
        <w:pStyle w:val="ParaNum"/>
        <w:widowControl/>
        <w:tabs>
          <w:tab w:val="clear" w:pos="1260"/>
          <w:tab w:val="num" w:pos="1440"/>
        </w:tabs>
        <w:ind w:left="0"/>
        <w:jc w:val="left"/>
        <w:rPr>
          <w:szCs w:val="22"/>
        </w:rPr>
      </w:pPr>
      <w:r w:rsidRPr="009C3954">
        <w:rPr>
          <w:szCs w:val="22"/>
        </w:rPr>
        <w:t xml:space="preserve">In </w:t>
      </w:r>
      <w:r w:rsidRPr="009C3954">
        <w:rPr>
          <w:i/>
          <w:szCs w:val="22"/>
        </w:rPr>
        <w:t>Qwest v. Farmers</w:t>
      </w:r>
      <w:r w:rsidRPr="009C3954">
        <w:rPr>
          <w:szCs w:val="22"/>
        </w:rPr>
        <w:t xml:space="preserve">, the Commission granted a section 208 complaint against Farmers and Merchants Mutual Telephone Company of </w:t>
      </w:r>
      <w:smartTag w:uri="urn:schemas-microsoft-com:office:smarttags" w:element="place">
        <w:smartTag w:uri="urn:schemas-microsoft-com:office:smarttags" w:element="City">
          <w:r w:rsidRPr="009C3954">
            <w:rPr>
              <w:szCs w:val="22"/>
            </w:rPr>
            <w:t>Wayland</w:t>
          </w:r>
        </w:smartTag>
        <w:r w:rsidRPr="009C3954">
          <w:rPr>
            <w:szCs w:val="22"/>
          </w:rPr>
          <w:t xml:space="preserve">, </w:t>
        </w:r>
        <w:smartTag w:uri="urn:schemas-microsoft-com:office:smarttags" w:element="State">
          <w:r w:rsidRPr="009C3954">
            <w:rPr>
              <w:szCs w:val="22"/>
            </w:rPr>
            <w:t>Iowa</w:t>
          </w:r>
        </w:smartTag>
      </w:smartTag>
      <w:r w:rsidR="002643FA">
        <w:rPr>
          <w:szCs w:val="22"/>
        </w:rPr>
        <w:t xml:space="preserve"> (Farmers</w:t>
      </w:r>
      <w:r w:rsidRPr="009C3954">
        <w:rPr>
          <w:szCs w:val="22"/>
        </w:rPr>
        <w:t xml:space="preserve">), a rural LEC engaged in access stimulation.  In short, the Commission examined </w:t>
      </w:r>
      <w:r w:rsidR="00666AF7">
        <w:rPr>
          <w:szCs w:val="22"/>
        </w:rPr>
        <w:t>the relationship between</w:t>
      </w:r>
      <w:r w:rsidRPr="009C3954">
        <w:rPr>
          <w:szCs w:val="22"/>
        </w:rPr>
        <w:t xml:space="preserve"> Farmers and various conference calling companies</w:t>
      </w:r>
      <w:r w:rsidR="00666AF7">
        <w:rPr>
          <w:szCs w:val="22"/>
        </w:rPr>
        <w:t xml:space="preserve"> to determine whether the conference calling companies were “end users” under Farmers’ federa</w:t>
      </w:r>
      <w:r w:rsidR="00CC42A2" w:rsidRPr="009C3954">
        <w:rPr>
          <w:szCs w:val="22"/>
        </w:rPr>
        <w:t xml:space="preserve">l switched access tariff.  </w:t>
      </w:r>
      <w:r w:rsidR="00666AF7">
        <w:rPr>
          <w:szCs w:val="22"/>
        </w:rPr>
        <w:t>If they were “end users,” then the service Farmers provided to Qwest was switched access service for which the tariffed rate applied.</w:t>
      </w:r>
    </w:p>
    <w:p w:rsidR="00F96B22" w:rsidRPr="00F96B22" w:rsidRDefault="0082720D" w:rsidP="00E856EA">
      <w:pPr>
        <w:pStyle w:val="ParaNum"/>
        <w:widowControl/>
        <w:tabs>
          <w:tab w:val="clear" w:pos="1260"/>
          <w:tab w:val="num" w:pos="1440"/>
        </w:tabs>
        <w:ind w:left="0"/>
        <w:jc w:val="left"/>
      </w:pPr>
      <w:r w:rsidRPr="009C3954">
        <w:rPr>
          <w:szCs w:val="22"/>
        </w:rPr>
        <w:t>The Commission concluded that</w:t>
      </w:r>
      <w:r w:rsidR="00666AF7">
        <w:rPr>
          <w:szCs w:val="22"/>
        </w:rPr>
        <w:t xml:space="preserve"> </w:t>
      </w:r>
      <w:r w:rsidRPr="009C3954">
        <w:rPr>
          <w:szCs w:val="22"/>
        </w:rPr>
        <w:t xml:space="preserve">the conference calling companies did </w:t>
      </w:r>
      <w:r w:rsidRPr="00666AF7">
        <w:rPr>
          <w:i/>
          <w:szCs w:val="22"/>
        </w:rPr>
        <w:t>not</w:t>
      </w:r>
      <w:r w:rsidRPr="009C3954">
        <w:rPr>
          <w:szCs w:val="22"/>
        </w:rPr>
        <w:t xml:space="preserve"> purchase tariffed services from Farmers</w:t>
      </w:r>
      <w:r w:rsidR="00666AF7">
        <w:rPr>
          <w:szCs w:val="22"/>
        </w:rPr>
        <w:t xml:space="preserve"> and, consequently,</w:t>
      </w:r>
      <w:r w:rsidRPr="009C3954">
        <w:rPr>
          <w:szCs w:val="22"/>
        </w:rPr>
        <w:t xml:space="preserve"> </w:t>
      </w:r>
      <w:r w:rsidR="006E001D">
        <w:rPr>
          <w:szCs w:val="22"/>
        </w:rPr>
        <w:t xml:space="preserve">they </w:t>
      </w:r>
      <w:r w:rsidRPr="009C3954">
        <w:rPr>
          <w:szCs w:val="22"/>
        </w:rPr>
        <w:t>were not “end users” within the meaning of Farmers’ tariff.</w:t>
      </w:r>
      <w:r w:rsidR="00CC42A2" w:rsidRPr="009C3954">
        <w:rPr>
          <w:rStyle w:val="FootnoteReference"/>
          <w:sz w:val="22"/>
          <w:szCs w:val="22"/>
        </w:rPr>
        <w:t xml:space="preserve"> </w:t>
      </w:r>
      <w:r w:rsidR="00CC42A2" w:rsidRPr="009C3954">
        <w:rPr>
          <w:rStyle w:val="FootnoteReference"/>
          <w:sz w:val="22"/>
          <w:szCs w:val="22"/>
        </w:rPr>
        <w:footnoteReference w:id="46"/>
      </w:r>
      <w:r w:rsidRPr="009C3954">
        <w:rPr>
          <w:szCs w:val="22"/>
        </w:rPr>
        <w:t xml:space="preserve">  </w:t>
      </w:r>
      <w:r w:rsidR="00D233B9" w:rsidRPr="009C3954">
        <w:rPr>
          <w:szCs w:val="22"/>
        </w:rPr>
        <w:t>I</w:t>
      </w:r>
      <w:r w:rsidRPr="009C3954">
        <w:rPr>
          <w:szCs w:val="22"/>
        </w:rPr>
        <w:t xml:space="preserve">n </w:t>
      </w:r>
      <w:r w:rsidR="00666AF7">
        <w:rPr>
          <w:szCs w:val="22"/>
        </w:rPr>
        <w:t>making this determination, the</w:t>
      </w:r>
      <w:r w:rsidRPr="009C3954">
        <w:rPr>
          <w:szCs w:val="22"/>
        </w:rPr>
        <w:t xml:space="preserve"> Commission </w:t>
      </w:r>
      <w:r w:rsidR="00F96B22">
        <w:rPr>
          <w:szCs w:val="22"/>
        </w:rPr>
        <w:t>considered the following factors</w:t>
      </w:r>
      <w:r w:rsidR="004D135C">
        <w:rPr>
          <w:szCs w:val="22"/>
        </w:rPr>
        <w:t>:</w:t>
      </w:r>
    </w:p>
    <w:p w:rsidR="00F96B22" w:rsidRDefault="00F96B22" w:rsidP="00E856EA">
      <w:pPr>
        <w:pStyle w:val="ParaNum"/>
        <w:widowControl/>
        <w:numPr>
          <w:ilvl w:val="0"/>
          <w:numId w:val="37"/>
        </w:numPr>
        <w:jc w:val="left"/>
      </w:pPr>
      <w:r>
        <w:t>The parties’ contracts did not contemplate that the conference calling companies would pay for service</w:t>
      </w:r>
      <w:r w:rsidR="006E001D">
        <w:t>,</w:t>
      </w:r>
      <w:r w:rsidRPr="006E001D">
        <w:rPr>
          <w:rStyle w:val="FootnoteReference"/>
          <w:rFonts w:cs="Arial"/>
          <w:szCs w:val="22"/>
        </w:rPr>
        <w:footnoteReference w:id="47"/>
      </w:r>
      <w:r>
        <w:t xml:space="preserve"> and, in fact, they did not pay for service</w:t>
      </w:r>
      <w:r w:rsidR="00435BFA">
        <w:t>.</w:t>
      </w:r>
      <w:r w:rsidRPr="006E001D">
        <w:rPr>
          <w:rStyle w:val="FootnoteReference"/>
          <w:rFonts w:cs="Arial"/>
          <w:szCs w:val="22"/>
        </w:rPr>
        <w:footnoteReference w:id="48"/>
      </w:r>
    </w:p>
    <w:p w:rsidR="00F96B22" w:rsidRDefault="00F96B22" w:rsidP="00E856EA">
      <w:pPr>
        <w:pStyle w:val="ParaNum"/>
        <w:widowControl/>
        <w:numPr>
          <w:ilvl w:val="0"/>
          <w:numId w:val="37"/>
        </w:numPr>
        <w:jc w:val="left"/>
      </w:pPr>
      <w:r>
        <w:t xml:space="preserve">Farmers never treated the conference calling companies like its other customers because (1) it did not enter the conference </w:t>
      </w:r>
      <w:r w:rsidR="007A736C">
        <w:t xml:space="preserve">calling companies </w:t>
      </w:r>
      <w:r w:rsidRPr="00D31814">
        <w:t>into its billing systems in accordance with its standard billing practices</w:t>
      </w:r>
      <w:r>
        <w:t xml:space="preserve">; (2) its </w:t>
      </w:r>
      <w:r w:rsidRPr="00D31814">
        <w:t xml:space="preserve">regular business records did not indicate </w:t>
      </w:r>
      <w:r w:rsidR="00CF78C2">
        <w:t xml:space="preserve">that </w:t>
      </w:r>
      <w:r w:rsidRPr="00D31814">
        <w:t xml:space="preserve">the </w:t>
      </w:r>
      <w:r w:rsidR="00456DE0">
        <w:t>conference calling companies</w:t>
      </w:r>
      <w:r w:rsidRPr="00D31814">
        <w:t xml:space="preserve"> were purchasing the t</w:t>
      </w:r>
      <w:r>
        <w:t xml:space="preserve">ariff’s End User Access Service; and (3) it </w:t>
      </w:r>
      <w:r w:rsidRPr="00D31814">
        <w:t>did not contemporaneously bill the</w:t>
      </w:r>
      <w:r w:rsidR="00456DE0">
        <w:t xml:space="preserve"> conference calling companies,</w:t>
      </w:r>
      <w:r w:rsidRPr="00D31814">
        <w:t xml:space="preserve"> or otherwise try to collect payment – despite the tariff’s requirement that Farmers bill and collect on a monthly basis.</w:t>
      </w:r>
      <w:r w:rsidR="006E001D">
        <w:rPr>
          <w:rStyle w:val="FootnoteReference"/>
        </w:rPr>
        <w:footnoteReference w:id="49"/>
      </w:r>
    </w:p>
    <w:p w:rsidR="00F96B22" w:rsidRDefault="00F96B22" w:rsidP="00E856EA">
      <w:pPr>
        <w:pStyle w:val="ParaNum"/>
        <w:widowControl/>
        <w:numPr>
          <w:ilvl w:val="0"/>
          <w:numId w:val="37"/>
        </w:numPr>
        <w:jc w:val="left"/>
      </w:pPr>
      <w:r w:rsidRPr="00D31814">
        <w:t>Farmers’ agreement</w:t>
      </w:r>
      <w:r>
        <w:t>s</w:t>
      </w:r>
      <w:r w:rsidRPr="00D31814">
        <w:t xml:space="preserve"> with the</w:t>
      </w:r>
      <w:r w:rsidR="00456DE0">
        <w:t xml:space="preserve"> conference calling companies</w:t>
      </w:r>
      <w:r w:rsidRPr="00D31814">
        <w:t xml:space="preserve"> contained an exclusivity clause</w:t>
      </w:r>
      <w:r>
        <w:t>, and Farmers re</w:t>
      </w:r>
      <w:r w:rsidRPr="00D31814">
        <w:t xml:space="preserve">fused to offer the deals it gave the </w:t>
      </w:r>
      <w:r w:rsidR="00456DE0">
        <w:t>conference calling companies</w:t>
      </w:r>
      <w:r w:rsidRPr="00D31814">
        <w:t xml:space="preserve"> to other similar parties.</w:t>
      </w:r>
      <w:r w:rsidRPr="006E001D">
        <w:rPr>
          <w:rStyle w:val="FootnoteReference"/>
          <w:rFonts w:cs="Arial"/>
          <w:szCs w:val="22"/>
        </w:rPr>
        <w:footnoteReference w:id="50"/>
      </w:r>
    </w:p>
    <w:p w:rsidR="00F96B22" w:rsidRDefault="00F96B22" w:rsidP="00E856EA">
      <w:pPr>
        <w:pStyle w:val="ParaNum"/>
        <w:widowControl/>
        <w:numPr>
          <w:ilvl w:val="0"/>
          <w:numId w:val="37"/>
        </w:numPr>
        <w:jc w:val="left"/>
      </w:pPr>
      <w:r w:rsidRPr="00D31814">
        <w:t>Farmers handled the</w:t>
      </w:r>
      <w:r w:rsidR="00456DE0">
        <w:t xml:space="preserve"> conference calling companies</w:t>
      </w:r>
      <w:r w:rsidRPr="00D31814">
        <w:t xml:space="preserve">’ traffic differently </w:t>
      </w:r>
      <w:r>
        <w:t>(</w:t>
      </w:r>
      <w:r w:rsidRPr="006C70E8">
        <w:t>i.e</w:t>
      </w:r>
      <w:r>
        <w:rPr>
          <w:i/>
        </w:rPr>
        <w:t>.</w:t>
      </w:r>
      <w:r>
        <w:t xml:space="preserve">, with a different switch) </w:t>
      </w:r>
      <w:r w:rsidRPr="00D31814">
        <w:t>than traffic to customers of its tariffed services.</w:t>
      </w:r>
      <w:r w:rsidRPr="006E001D">
        <w:rPr>
          <w:rStyle w:val="FootnoteReference"/>
          <w:rFonts w:cs="Arial"/>
          <w:szCs w:val="22"/>
        </w:rPr>
        <w:footnoteReference w:id="51"/>
      </w:r>
    </w:p>
    <w:p w:rsidR="00F96B22" w:rsidRDefault="00F96B22" w:rsidP="00E856EA">
      <w:pPr>
        <w:pStyle w:val="ParaNum"/>
        <w:widowControl/>
        <w:numPr>
          <w:ilvl w:val="0"/>
          <w:numId w:val="37"/>
        </w:numPr>
        <w:jc w:val="left"/>
      </w:pPr>
      <w:r w:rsidRPr="00D31814">
        <w:t>Farmers’ agreements with the</w:t>
      </w:r>
      <w:r w:rsidR="00456DE0">
        <w:t xml:space="preserve"> conference calling companies</w:t>
      </w:r>
      <w:r w:rsidRPr="00D31814">
        <w:t xml:space="preserve"> </w:t>
      </w:r>
      <w:r>
        <w:t xml:space="preserve">contained unique terms that </w:t>
      </w:r>
      <w:r w:rsidRPr="00D31814">
        <w:t>did not resemble traditional agreements for its tariffed service</w:t>
      </w:r>
      <w:r>
        <w:t>, including</w:t>
      </w:r>
      <w:r w:rsidR="00C721F0">
        <w:t>:</w:t>
      </w:r>
      <w:r>
        <w:t xml:space="preserve"> (1) </w:t>
      </w:r>
      <w:r w:rsidRPr="002C05AA">
        <w:t>Farmers agreed to pay the</w:t>
      </w:r>
      <w:r w:rsidR="00456DE0">
        <w:t xml:space="preserve"> conference calling companies</w:t>
      </w:r>
      <w:r w:rsidRPr="002C05AA">
        <w:t xml:space="preserve"> (differing amounts) for traffic it terminated to them</w:t>
      </w:r>
      <w:r>
        <w:t xml:space="preserve">; (2) </w:t>
      </w:r>
      <w:r w:rsidRPr="002C05AA">
        <w:t>Farmers’ deals with the</w:t>
      </w:r>
      <w:r w:rsidR="00456DE0">
        <w:t xml:space="preserve"> conference calling companies</w:t>
      </w:r>
      <w:r w:rsidRPr="002C05AA">
        <w:t xml:space="preserve"> included (also diffe</w:t>
      </w:r>
      <w:r>
        <w:t>ring) minimum-usage commitments; (3) t</w:t>
      </w:r>
      <w:r w:rsidRPr="002C05AA">
        <w:t>he duration of the</w:t>
      </w:r>
      <w:r w:rsidR="00456DE0">
        <w:t xml:space="preserve"> conference calling companies</w:t>
      </w:r>
      <w:r w:rsidRPr="002C05AA">
        <w:t>’ agreements varied</w:t>
      </w:r>
      <w:r>
        <w:t>; (4) t</w:t>
      </w:r>
      <w:r w:rsidRPr="002C05AA">
        <w:t>he notice periods for cancellation of service duri</w:t>
      </w:r>
      <w:r>
        <w:t xml:space="preserve">ng the agreements’ terms varied; (5) </w:t>
      </w:r>
      <w:r w:rsidRPr="002C05AA">
        <w:t>Farmers’ board of directors had to appro</w:t>
      </w:r>
      <w:r>
        <w:t xml:space="preserve">ve each of the </w:t>
      </w:r>
      <w:r w:rsidR="00456DE0">
        <w:t>conference calling companies</w:t>
      </w:r>
      <w:r>
        <w:t>’ agreements; (6) t</w:t>
      </w:r>
      <w:r w:rsidRPr="002C05AA">
        <w:t>he agreements’ provisions were kept confidential.</w:t>
      </w:r>
      <w:r w:rsidRPr="006E001D">
        <w:rPr>
          <w:rStyle w:val="FootnoteReference"/>
          <w:rFonts w:cs="Arial"/>
          <w:szCs w:val="22"/>
        </w:rPr>
        <w:footnoteReference w:id="52"/>
      </w:r>
    </w:p>
    <w:p w:rsidR="00F96B22" w:rsidRDefault="00F96B22" w:rsidP="00E856EA">
      <w:pPr>
        <w:pStyle w:val="ParaNum"/>
        <w:widowControl/>
        <w:numPr>
          <w:ilvl w:val="0"/>
          <w:numId w:val="37"/>
        </w:numPr>
        <w:jc w:val="left"/>
      </w:pPr>
      <w:r w:rsidRPr="00D31814">
        <w:t xml:space="preserve">Farmers </w:t>
      </w:r>
      <w:r>
        <w:t xml:space="preserve">did not </w:t>
      </w:r>
      <w:r w:rsidRPr="00D31814">
        <w:t xml:space="preserve">(1) timely report revenues from those services, </w:t>
      </w:r>
      <w:r w:rsidR="00C721F0">
        <w:t>or</w:t>
      </w:r>
      <w:r w:rsidRPr="00D31814">
        <w:t xml:space="preserve"> (2) submit Universal Service contributions.</w:t>
      </w:r>
      <w:r w:rsidRPr="006E001D">
        <w:rPr>
          <w:rStyle w:val="FootnoteReference"/>
          <w:rFonts w:cs="Arial"/>
          <w:szCs w:val="22"/>
        </w:rPr>
        <w:footnoteReference w:id="53"/>
      </w:r>
    </w:p>
    <w:p w:rsidR="00C721F0" w:rsidRDefault="004F72C1" w:rsidP="00E856EA">
      <w:pPr>
        <w:pStyle w:val="ParaNum"/>
        <w:widowControl/>
        <w:tabs>
          <w:tab w:val="clear" w:pos="1260"/>
          <w:tab w:val="num" w:pos="1440"/>
        </w:tabs>
        <w:ind w:left="0"/>
        <w:jc w:val="left"/>
        <w:rPr>
          <w:szCs w:val="22"/>
        </w:rPr>
      </w:pPr>
      <w:r>
        <w:rPr>
          <w:szCs w:val="22"/>
        </w:rPr>
        <w:t xml:space="preserve">In short, the Commission found that </w:t>
      </w:r>
      <w:r w:rsidR="0082720D" w:rsidRPr="009C3954">
        <w:rPr>
          <w:szCs w:val="22"/>
        </w:rPr>
        <w:t>neither Farmers nor the conference calling companies intended to operate in accordance with Farmers</w:t>
      </w:r>
      <w:r>
        <w:rPr>
          <w:szCs w:val="22"/>
        </w:rPr>
        <w:t>’</w:t>
      </w:r>
      <w:r w:rsidR="0082720D" w:rsidRPr="009C3954">
        <w:rPr>
          <w:szCs w:val="22"/>
        </w:rPr>
        <w:t xml:space="preserve"> tariff</w:t>
      </w:r>
      <w:r>
        <w:rPr>
          <w:szCs w:val="22"/>
        </w:rPr>
        <w:t>; indeed, they</w:t>
      </w:r>
      <w:r w:rsidR="0082720D" w:rsidRPr="009C3954">
        <w:rPr>
          <w:szCs w:val="22"/>
        </w:rPr>
        <w:t xml:space="preserve"> had “purposefully avoided” a customer relationship under Farmers’ tariff.</w:t>
      </w:r>
      <w:r w:rsidR="0082720D" w:rsidRPr="009C3954">
        <w:rPr>
          <w:rStyle w:val="FootnoteReference"/>
          <w:sz w:val="22"/>
          <w:szCs w:val="22"/>
        </w:rPr>
        <w:footnoteReference w:id="54"/>
      </w:r>
      <w:r w:rsidR="0082720D" w:rsidRPr="009C3954">
        <w:rPr>
          <w:szCs w:val="22"/>
        </w:rPr>
        <w:t xml:space="preserve">  </w:t>
      </w:r>
      <w:r w:rsidR="00400B9A">
        <w:rPr>
          <w:szCs w:val="22"/>
        </w:rPr>
        <w:t>Because the conference calling companies “were neither ‘customers’ nor ‘end users’ within the meaning of [Farmers’] tariff,” the Commission found that Farmers “was not entitled to charge Qwest switched access charges under the terms of Farmers’ tariff”</w:t>
      </w:r>
      <w:r w:rsidR="00474450">
        <w:rPr>
          <w:szCs w:val="22"/>
        </w:rPr>
        <w:t xml:space="preserve"> and that </w:t>
      </w:r>
      <w:r w:rsidR="0082720D" w:rsidRPr="009C3954">
        <w:rPr>
          <w:szCs w:val="22"/>
        </w:rPr>
        <w:t>Farmers had violated sections 201(b) and 203(c) of the Act.</w:t>
      </w:r>
      <w:r w:rsidR="0082720D" w:rsidRPr="009C3954">
        <w:rPr>
          <w:rStyle w:val="FootnoteReference"/>
          <w:sz w:val="22"/>
          <w:szCs w:val="22"/>
        </w:rPr>
        <w:footnoteReference w:id="55"/>
      </w:r>
    </w:p>
    <w:p w:rsidR="0082720D" w:rsidRPr="009C3954" w:rsidRDefault="00DB21D1" w:rsidP="00E856EA">
      <w:pPr>
        <w:pStyle w:val="ParaNum"/>
        <w:widowControl/>
        <w:tabs>
          <w:tab w:val="clear" w:pos="1260"/>
          <w:tab w:val="num" w:pos="1440"/>
        </w:tabs>
        <w:ind w:left="0"/>
        <w:jc w:val="left"/>
        <w:rPr>
          <w:szCs w:val="22"/>
        </w:rPr>
      </w:pPr>
      <w:r>
        <w:rPr>
          <w:szCs w:val="22"/>
        </w:rPr>
        <w:t xml:space="preserve">On December 30, 2011, </w:t>
      </w:r>
      <w:r>
        <w:rPr>
          <w:iCs/>
          <w:szCs w:val="22"/>
        </w:rPr>
        <w:t>the</w:t>
      </w:r>
      <w:r w:rsidR="009B2AD4">
        <w:rPr>
          <w:iCs/>
          <w:szCs w:val="22"/>
        </w:rPr>
        <w:t xml:space="preserve"> United States Court of Appeals for the</w:t>
      </w:r>
      <w:r>
        <w:rPr>
          <w:iCs/>
          <w:szCs w:val="22"/>
        </w:rPr>
        <w:t xml:space="preserve"> District of Columbia Circuit </w:t>
      </w:r>
      <w:r w:rsidR="00D118BB">
        <w:rPr>
          <w:iCs/>
          <w:szCs w:val="22"/>
        </w:rPr>
        <w:t>upheld the Commission’s</w:t>
      </w:r>
      <w:r w:rsidR="00361F9E">
        <w:rPr>
          <w:iCs/>
          <w:szCs w:val="22"/>
        </w:rPr>
        <w:t xml:space="preserve"> </w:t>
      </w:r>
      <w:r w:rsidR="00A4669E">
        <w:rPr>
          <w:iCs/>
          <w:szCs w:val="22"/>
        </w:rPr>
        <w:t>order</w:t>
      </w:r>
      <w:r w:rsidR="00CF2AB8">
        <w:rPr>
          <w:iCs/>
          <w:szCs w:val="22"/>
        </w:rPr>
        <w:t>s</w:t>
      </w:r>
      <w:r w:rsidR="00A4669E">
        <w:rPr>
          <w:iCs/>
          <w:szCs w:val="22"/>
        </w:rPr>
        <w:t>, stating in relevant part that</w:t>
      </w:r>
      <w:r>
        <w:rPr>
          <w:iCs/>
          <w:szCs w:val="22"/>
        </w:rPr>
        <w:t xml:space="preserve"> </w:t>
      </w:r>
      <w:r w:rsidR="00A4669E">
        <w:rPr>
          <w:iCs/>
          <w:szCs w:val="22"/>
        </w:rPr>
        <w:t>“[t]</w:t>
      </w:r>
      <w:r>
        <w:rPr>
          <w:iCs/>
          <w:szCs w:val="22"/>
        </w:rPr>
        <w:t>he Commission’s reading of [Farmers’] tariff</w:t>
      </w:r>
      <w:r w:rsidR="00C721F0">
        <w:rPr>
          <w:iCs/>
          <w:szCs w:val="22"/>
        </w:rPr>
        <w:t xml:space="preserve"> was well within its discretion,</w:t>
      </w:r>
      <w:r>
        <w:rPr>
          <w:iCs/>
          <w:szCs w:val="22"/>
        </w:rPr>
        <w:t>”</w:t>
      </w:r>
      <w:r>
        <w:rPr>
          <w:rStyle w:val="FootnoteReference"/>
          <w:iCs/>
          <w:szCs w:val="22"/>
        </w:rPr>
        <w:footnoteReference w:id="56"/>
      </w:r>
      <w:r w:rsidR="00C721F0">
        <w:rPr>
          <w:iCs/>
          <w:szCs w:val="22"/>
        </w:rPr>
        <w:t xml:space="preserve"> and that </w:t>
      </w:r>
      <w:r w:rsidR="00A4669E">
        <w:rPr>
          <w:iCs/>
          <w:szCs w:val="22"/>
        </w:rPr>
        <w:t>“the Commission</w:t>
      </w:r>
      <w:r w:rsidR="00C721F0">
        <w:rPr>
          <w:iCs/>
          <w:szCs w:val="22"/>
        </w:rPr>
        <w:t>, upon considering factors within its expertise, could reasonably conclude that Farmers’ relationships with the conference calling companies had been deliberately structured to fall outside the terms of Farmers’ tariff and therefore reasonably reject such services as tariffed services.”</w:t>
      </w:r>
      <w:r w:rsidR="00C721F0">
        <w:rPr>
          <w:rStyle w:val="FootnoteReference"/>
          <w:iCs/>
          <w:szCs w:val="22"/>
        </w:rPr>
        <w:footnoteReference w:id="57"/>
      </w:r>
    </w:p>
    <w:bookmarkEnd w:id="7"/>
    <w:bookmarkEnd w:id="8"/>
    <w:p w:rsidR="00340DEE" w:rsidRPr="009C3954" w:rsidRDefault="00361F9E" w:rsidP="00E856EA">
      <w:pPr>
        <w:pStyle w:val="Heading1"/>
        <w:widowControl/>
        <w:jc w:val="left"/>
        <w:rPr>
          <w:szCs w:val="22"/>
        </w:rPr>
      </w:pPr>
      <w:r>
        <w:rPr>
          <w:szCs w:val="22"/>
        </w:rPr>
        <w:t>DISCUSSION</w:t>
      </w:r>
    </w:p>
    <w:p w:rsidR="00340DEE" w:rsidRDefault="00C721F0" w:rsidP="00E856EA">
      <w:pPr>
        <w:pStyle w:val="Heading2"/>
        <w:widowControl/>
        <w:tabs>
          <w:tab w:val="clear" w:pos="1530"/>
          <w:tab w:val="left" w:pos="0"/>
          <w:tab w:val="left" w:pos="1440"/>
        </w:tabs>
        <w:ind w:left="1440"/>
        <w:jc w:val="left"/>
        <w:rPr>
          <w:szCs w:val="22"/>
        </w:rPr>
      </w:pPr>
      <w:r>
        <w:rPr>
          <w:szCs w:val="22"/>
        </w:rPr>
        <w:t>Sancom Could Not Lawfully Bill Qwest for Tariffed Switched Access Service B</w:t>
      </w:r>
      <w:r w:rsidR="00753520">
        <w:rPr>
          <w:szCs w:val="22"/>
        </w:rPr>
        <w:t>ecause the Free Calling Companies Were Not “End Users” Under Sancom’s Tariff.</w:t>
      </w:r>
    </w:p>
    <w:p w:rsidR="005D55C3" w:rsidRPr="009C3954" w:rsidRDefault="00D61D16" w:rsidP="00E856EA">
      <w:pPr>
        <w:pStyle w:val="ParaNum"/>
        <w:widowControl/>
        <w:tabs>
          <w:tab w:val="clear" w:pos="1260"/>
          <w:tab w:val="num" w:pos="1440"/>
        </w:tabs>
        <w:ind w:left="0"/>
        <w:jc w:val="left"/>
        <w:rPr>
          <w:szCs w:val="22"/>
        </w:rPr>
      </w:pPr>
      <w:r w:rsidRPr="009C3954">
        <w:rPr>
          <w:szCs w:val="22"/>
        </w:rPr>
        <w:t xml:space="preserve">Section 203(c) of the Act requires </w:t>
      </w:r>
      <w:r>
        <w:rPr>
          <w:szCs w:val="22"/>
        </w:rPr>
        <w:t>a carrier to</w:t>
      </w:r>
      <w:r w:rsidRPr="009C3954">
        <w:rPr>
          <w:szCs w:val="22"/>
        </w:rPr>
        <w:t xml:space="preserve"> provide communications services in </w:t>
      </w:r>
      <w:bookmarkStart w:id="25" w:name="SR;13800"/>
      <w:bookmarkEnd w:id="25"/>
      <w:r w:rsidRPr="009C3954">
        <w:rPr>
          <w:szCs w:val="22"/>
        </w:rPr>
        <w:t xml:space="preserve">strict accordance with the terms and conditions </w:t>
      </w:r>
      <w:r>
        <w:rPr>
          <w:szCs w:val="22"/>
        </w:rPr>
        <w:t>of</w:t>
      </w:r>
      <w:r w:rsidRPr="009C3954">
        <w:rPr>
          <w:szCs w:val="22"/>
        </w:rPr>
        <w:t xml:space="preserve"> its </w:t>
      </w:r>
      <w:bookmarkStart w:id="26" w:name="SR;13810"/>
      <w:bookmarkEnd w:id="26"/>
      <w:r w:rsidRPr="009C3954">
        <w:rPr>
          <w:szCs w:val="22"/>
        </w:rPr>
        <w:t>tariff.</w:t>
      </w:r>
      <w:r w:rsidRPr="009C3954">
        <w:rPr>
          <w:rStyle w:val="FootnoteReference"/>
          <w:sz w:val="22"/>
          <w:szCs w:val="22"/>
        </w:rPr>
        <w:footnoteReference w:id="58"/>
      </w:r>
      <w:r>
        <w:rPr>
          <w:szCs w:val="22"/>
        </w:rPr>
        <w:t xml:space="preserve">  </w:t>
      </w:r>
      <w:r w:rsidR="004D5475">
        <w:rPr>
          <w:szCs w:val="22"/>
        </w:rPr>
        <w:t>As explained above, i</w:t>
      </w:r>
      <w:r w:rsidR="005D55C3">
        <w:rPr>
          <w:szCs w:val="22"/>
        </w:rPr>
        <w:t xml:space="preserve">n order for Sancom to provide Switched Access Service under the Tariff, calls must originate or terminate with an </w:t>
      </w:r>
      <w:r w:rsidR="005D55C3" w:rsidRPr="009C3954">
        <w:rPr>
          <w:szCs w:val="22"/>
        </w:rPr>
        <w:t>“end user”</w:t>
      </w:r>
      <w:r w:rsidR="004D5475">
        <w:rPr>
          <w:szCs w:val="22"/>
        </w:rPr>
        <w:t xml:space="preserve"> (</w:t>
      </w:r>
      <w:r w:rsidR="004D5475" w:rsidRPr="00FB3355">
        <w:rPr>
          <w:szCs w:val="22"/>
        </w:rPr>
        <w:t>i.e.</w:t>
      </w:r>
      <w:r w:rsidR="004D5475">
        <w:rPr>
          <w:szCs w:val="22"/>
        </w:rPr>
        <w:t>,</w:t>
      </w:r>
      <w:r w:rsidR="005D55C3" w:rsidRPr="009C3954">
        <w:rPr>
          <w:szCs w:val="22"/>
        </w:rPr>
        <w:t xml:space="preserve"> </w:t>
      </w:r>
      <w:r w:rsidR="005D55C3">
        <w:rPr>
          <w:szCs w:val="22"/>
        </w:rPr>
        <w:t>a “customer” that “subscribes to the services offered</w:t>
      </w:r>
      <w:r w:rsidR="004D5475">
        <w:rPr>
          <w:szCs w:val="22"/>
        </w:rPr>
        <w:t>”</w:t>
      </w:r>
      <w:r w:rsidR="005D55C3">
        <w:rPr>
          <w:szCs w:val="22"/>
        </w:rPr>
        <w:t xml:space="preserve"> under th</w:t>
      </w:r>
      <w:r w:rsidR="004D5475">
        <w:rPr>
          <w:szCs w:val="22"/>
        </w:rPr>
        <w:t>e</w:t>
      </w:r>
      <w:r w:rsidR="005D55C3">
        <w:rPr>
          <w:szCs w:val="22"/>
        </w:rPr>
        <w:t xml:space="preserve"> Tariff</w:t>
      </w:r>
      <w:r w:rsidR="004D5475">
        <w:rPr>
          <w:szCs w:val="22"/>
        </w:rPr>
        <w:t>).</w:t>
      </w:r>
      <w:r w:rsidR="00326533" w:rsidRPr="009C3954">
        <w:rPr>
          <w:rStyle w:val="FootnoteReference"/>
          <w:sz w:val="22"/>
          <w:szCs w:val="22"/>
        </w:rPr>
        <w:footnoteReference w:id="59"/>
      </w:r>
    </w:p>
    <w:p w:rsidR="00D61D16" w:rsidRPr="00D61D16" w:rsidRDefault="005D55C3" w:rsidP="00E856EA">
      <w:pPr>
        <w:pStyle w:val="ParaNum"/>
        <w:widowControl/>
        <w:tabs>
          <w:tab w:val="clear" w:pos="1260"/>
          <w:tab w:val="num" w:pos="1440"/>
        </w:tabs>
        <w:ind w:left="0"/>
        <w:jc w:val="left"/>
      </w:pPr>
      <w:r>
        <w:rPr>
          <w:szCs w:val="22"/>
        </w:rPr>
        <w:t xml:space="preserve">As in </w:t>
      </w:r>
      <w:r>
        <w:rPr>
          <w:i/>
          <w:szCs w:val="22"/>
        </w:rPr>
        <w:t xml:space="preserve">Qwest v. </w:t>
      </w:r>
      <w:r w:rsidRPr="005D55C3">
        <w:rPr>
          <w:i/>
          <w:szCs w:val="22"/>
        </w:rPr>
        <w:t>Farmers</w:t>
      </w:r>
      <w:r>
        <w:rPr>
          <w:szCs w:val="22"/>
        </w:rPr>
        <w:t xml:space="preserve">, we find that the Free Calling Companies were not “end users” under Sancom’s Tariff, </w:t>
      </w:r>
      <w:r w:rsidR="008A7019">
        <w:rPr>
          <w:szCs w:val="22"/>
        </w:rPr>
        <w:t>because Sancom did not bill the Free Calling Companies</w:t>
      </w:r>
      <w:r>
        <w:rPr>
          <w:szCs w:val="22"/>
        </w:rPr>
        <w:t xml:space="preserve"> for, and they did not pay for, switched access service.  </w:t>
      </w:r>
      <w:r w:rsidR="00D61D16">
        <w:rPr>
          <w:szCs w:val="22"/>
        </w:rPr>
        <w:t>Moreover, in several other respects, Sancom and the Free Calling Companies behave</w:t>
      </w:r>
      <w:r w:rsidR="00A85F2D">
        <w:rPr>
          <w:szCs w:val="22"/>
        </w:rPr>
        <w:t>d</w:t>
      </w:r>
      <w:r w:rsidR="00D61D16">
        <w:rPr>
          <w:szCs w:val="22"/>
        </w:rPr>
        <w:t xml:space="preserve"> in a manner </w:t>
      </w:r>
      <w:r w:rsidR="00A85F2D">
        <w:rPr>
          <w:szCs w:val="22"/>
        </w:rPr>
        <w:t>in</w:t>
      </w:r>
      <w:r w:rsidR="00D61D16">
        <w:rPr>
          <w:szCs w:val="22"/>
        </w:rPr>
        <w:t>consistent with a</w:t>
      </w:r>
      <w:r>
        <w:rPr>
          <w:szCs w:val="22"/>
        </w:rPr>
        <w:t xml:space="preserve"> tariffed</w:t>
      </w:r>
      <w:r w:rsidR="00D61D16">
        <w:rPr>
          <w:szCs w:val="22"/>
        </w:rPr>
        <w:t xml:space="preserve"> carrier/customer relationship.</w:t>
      </w:r>
      <w:r w:rsidR="00AF2756">
        <w:rPr>
          <w:szCs w:val="22"/>
        </w:rPr>
        <w:t xml:space="preserve">  Accordingly, </w:t>
      </w:r>
      <w:r w:rsidR="00481320">
        <w:rPr>
          <w:szCs w:val="22"/>
        </w:rPr>
        <w:t xml:space="preserve">we find that </w:t>
      </w:r>
      <w:r w:rsidR="00AF2756">
        <w:rPr>
          <w:szCs w:val="22"/>
        </w:rPr>
        <w:t>Sancom violated secti</w:t>
      </w:r>
      <w:r w:rsidR="00481320">
        <w:rPr>
          <w:szCs w:val="22"/>
        </w:rPr>
        <w:t>ons 203(c) and 201(b) of the Act.</w:t>
      </w:r>
    </w:p>
    <w:p w:rsidR="00340DEE" w:rsidRPr="009C3954" w:rsidRDefault="00753520" w:rsidP="00E856EA">
      <w:pPr>
        <w:pStyle w:val="Heading3"/>
        <w:widowControl/>
        <w:jc w:val="left"/>
        <w:rPr>
          <w:szCs w:val="22"/>
        </w:rPr>
      </w:pPr>
      <w:r>
        <w:rPr>
          <w:szCs w:val="22"/>
        </w:rPr>
        <w:t>Sancom Did Not Bill the Free Calling Companies</w:t>
      </w:r>
      <w:r w:rsidR="00E90A59">
        <w:rPr>
          <w:szCs w:val="22"/>
        </w:rPr>
        <w:t xml:space="preserve"> for</w:t>
      </w:r>
      <w:r>
        <w:rPr>
          <w:szCs w:val="22"/>
        </w:rPr>
        <w:t>, and the Fre</w:t>
      </w:r>
      <w:r w:rsidR="00E90A59">
        <w:rPr>
          <w:szCs w:val="22"/>
        </w:rPr>
        <w:t>e Calling Companies Did Not Pay</w:t>
      </w:r>
      <w:r w:rsidR="001560DD">
        <w:rPr>
          <w:szCs w:val="22"/>
        </w:rPr>
        <w:t xml:space="preserve"> for</w:t>
      </w:r>
      <w:r w:rsidR="00E90A59">
        <w:rPr>
          <w:szCs w:val="22"/>
        </w:rPr>
        <w:t>,</w:t>
      </w:r>
      <w:r>
        <w:rPr>
          <w:szCs w:val="22"/>
        </w:rPr>
        <w:t xml:space="preserve"> Tariffed Switched Access Service.</w:t>
      </w:r>
    </w:p>
    <w:p w:rsidR="0027455B" w:rsidRPr="0027455B" w:rsidRDefault="0092473D" w:rsidP="00E856EA">
      <w:pPr>
        <w:pStyle w:val="ParaNum"/>
        <w:widowControl/>
        <w:tabs>
          <w:tab w:val="clear" w:pos="1260"/>
          <w:tab w:val="num" w:pos="1440"/>
        </w:tabs>
        <w:ind w:left="0"/>
        <w:jc w:val="left"/>
        <w:rPr>
          <w:szCs w:val="22"/>
        </w:rPr>
      </w:pPr>
      <w:r>
        <w:t>As noted above, the Tariff requires Sancom to bill its customers on a mont</w:t>
      </w:r>
      <w:r w:rsidR="00FD14BB">
        <w:t>h</w:t>
      </w:r>
      <w:r>
        <w:t>ly basis for “all charges incurred by and credits due to the customer.”</w:t>
      </w:r>
      <w:r>
        <w:rPr>
          <w:rStyle w:val="FootnoteReference"/>
          <w:szCs w:val="22"/>
        </w:rPr>
        <w:footnoteReference w:id="60"/>
      </w:r>
      <w:r>
        <w:t xml:space="preserve">  </w:t>
      </w:r>
      <w:r w:rsidR="004313BA" w:rsidRPr="009C3954">
        <w:t>Sancom provided connectivity to the Free Calling Companies through ISDN-PRI circuits.</w:t>
      </w:r>
      <w:r w:rsidR="004313BA" w:rsidRPr="009C3954">
        <w:rPr>
          <w:rStyle w:val="FootnoteReference"/>
          <w:sz w:val="22"/>
          <w:szCs w:val="22"/>
        </w:rPr>
        <w:footnoteReference w:id="61"/>
      </w:r>
      <w:r w:rsidR="004313BA" w:rsidRPr="009C3954">
        <w:t xml:space="preserve">  The Tariff</w:t>
      </w:r>
      <w:r>
        <w:t xml:space="preserve"> contains</w:t>
      </w:r>
      <w:r w:rsidR="004313BA" w:rsidRPr="009C3954">
        <w:t xml:space="preserve"> a monthly rate for</w:t>
      </w:r>
      <w:r>
        <w:t xml:space="preserve"> such circuits, as well as a monthly rate for related ISDN line ports.</w:t>
      </w:r>
      <w:r w:rsidR="004313BA" w:rsidRPr="009C3954">
        <w:rPr>
          <w:rStyle w:val="FootnoteReference"/>
          <w:sz w:val="22"/>
          <w:szCs w:val="22"/>
        </w:rPr>
        <w:footnoteReference w:id="62"/>
      </w:r>
      <w:r w:rsidR="004313BA" w:rsidRPr="009C3954">
        <w:t xml:space="preserve">  </w:t>
      </w:r>
      <w:r w:rsidR="007B08D4">
        <w:t xml:space="preserve">Moreover, the </w:t>
      </w:r>
      <w:r w:rsidR="004313BA" w:rsidRPr="009C3954">
        <w:t>Tariff</w:t>
      </w:r>
      <w:r>
        <w:t xml:space="preserve"> provides that Sancom shall apply a</w:t>
      </w:r>
      <w:r w:rsidR="004313BA" w:rsidRPr="009C3954">
        <w:t xml:space="preserve"> federal Universal Service charge</w:t>
      </w:r>
      <w:r>
        <w:t xml:space="preserve"> each month to the tariffed interstate access services provided to end users</w:t>
      </w:r>
      <w:r w:rsidR="004313BA" w:rsidRPr="009C3954">
        <w:t>.</w:t>
      </w:r>
      <w:r w:rsidR="004313BA" w:rsidRPr="009C3954">
        <w:rPr>
          <w:rStyle w:val="FootnoteReference"/>
          <w:sz w:val="22"/>
          <w:szCs w:val="22"/>
        </w:rPr>
        <w:footnoteReference w:id="63"/>
      </w:r>
    </w:p>
    <w:p w:rsidR="00481320" w:rsidRDefault="007832EF" w:rsidP="00E856EA">
      <w:pPr>
        <w:pStyle w:val="ParaNum"/>
        <w:widowControl/>
        <w:tabs>
          <w:tab w:val="clear" w:pos="1260"/>
          <w:tab w:val="num" w:pos="1440"/>
        </w:tabs>
        <w:ind w:left="0"/>
        <w:jc w:val="left"/>
      </w:pPr>
      <w:r>
        <w:rPr>
          <w:szCs w:val="22"/>
        </w:rPr>
        <w:t xml:space="preserve">Despite these requirements, </w:t>
      </w:r>
      <w:r w:rsidRPr="009C3954">
        <w:rPr>
          <w:szCs w:val="22"/>
        </w:rPr>
        <w:t>Sancom</w:t>
      </w:r>
      <w:r>
        <w:rPr>
          <w:szCs w:val="22"/>
        </w:rPr>
        <w:t xml:space="preserve"> </w:t>
      </w:r>
      <w:r w:rsidRPr="009C3954">
        <w:rPr>
          <w:szCs w:val="22"/>
        </w:rPr>
        <w:t xml:space="preserve">did not </w:t>
      </w:r>
      <w:r>
        <w:rPr>
          <w:szCs w:val="22"/>
        </w:rPr>
        <w:t xml:space="preserve">establish any sort of genuine billing relationship with the Free Calling Companies, failing to adhere to established practices regarding </w:t>
      </w:r>
      <w:r w:rsidR="000F64ED">
        <w:rPr>
          <w:szCs w:val="22"/>
        </w:rPr>
        <w:t>its transmission of monthly bills, billing system,</w:t>
      </w:r>
      <w:r>
        <w:rPr>
          <w:szCs w:val="22"/>
        </w:rPr>
        <w:t xml:space="preserve"> and collection efforts.  </w:t>
      </w:r>
      <w:r w:rsidR="00DD3B21">
        <w:rPr>
          <w:szCs w:val="22"/>
        </w:rPr>
        <w:t xml:space="preserve">Specifically, </w:t>
      </w:r>
      <w:r w:rsidR="000F64ED">
        <w:rPr>
          <w:szCs w:val="22"/>
        </w:rPr>
        <w:t>Sancom did not send monthly bills to the Free Calling Companies,</w:t>
      </w:r>
      <w:r w:rsidR="000F64ED">
        <w:rPr>
          <w:rStyle w:val="FootnoteReference"/>
          <w:szCs w:val="22"/>
        </w:rPr>
        <w:footnoteReference w:id="64"/>
      </w:r>
      <w:r w:rsidR="000F64ED">
        <w:rPr>
          <w:szCs w:val="22"/>
        </w:rPr>
        <w:t xml:space="preserve"> </w:t>
      </w:r>
      <w:r w:rsidR="00DD3B21">
        <w:t>[r</w:t>
      </w:r>
      <w:r w:rsidR="0027455B">
        <w:t xml:space="preserve">edacted confidential information regarding Sancom’s </w:t>
      </w:r>
      <w:r w:rsidR="00C27ABA">
        <w:t>billing system</w:t>
      </w:r>
      <w:r w:rsidR="0027455B">
        <w:t>]</w:t>
      </w:r>
      <w:r w:rsidR="00E733E5">
        <w:t>,</w:t>
      </w:r>
      <w:r w:rsidR="00E733E5" w:rsidRPr="009C3954">
        <w:rPr>
          <w:rStyle w:val="FootnoteReference"/>
          <w:rFonts w:cs="TimesNewRoman"/>
          <w:sz w:val="22"/>
          <w:szCs w:val="22"/>
        </w:rPr>
        <w:footnoteReference w:id="65"/>
      </w:r>
      <w:r w:rsidR="00481320" w:rsidRPr="009C3954">
        <w:t xml:space="preserve"> </w:t>
      </w:r>
      <w:r w:rsidR="00DD3B21">
        <w:t xml:space="preserve">and </w:t>
      </w:r>
      <w:r w:rsidR="0027455B">
        <w:t xml:space="preserve">[redacted confidential information regarding Sancom’s </w:t>
      </w:r>
      <w:r w:rsidR="00C27ABA">
        <w:t xml:space="preserve">collection efforts with </w:t>
      </w:r>
      <w:r w:rsidR="0027455B">
        <w:t>the Free Calling Companies.]</w:t>
      </w:r>
      <w:r w:rsidR="00481320" w:rsidRPr="009C3954">
        <w:rPr>
          <w:rStyle w:val="FootnoteReference"/>
          <w:rFonts w:cs="TimesNewRoman"/>
          <w:sz w:val="22"/>
          <w:szCs w:val="22"/>
        </w:rPr>
        <w:footnoteReference w:id="66"/>
      </w:r>
      <w:r w:rsidR="00481320" w:rsidRPr="009C3954">
        <w:t xml:space="preserve">  </w:t>
      </w:r>
      <w:r w:rsidRPr="009C3954">
        <w:rPr>
          <w:szCs w:val="22"/>
        </w:rPr>
        <w:t xml:space="preserve">Sancom argues that it </w:t>
      </w:r>
      <w:r>
        <w:rPr>
          <w:szCs w:val="22"/>
        </w:rPr>
        <w:t xml:space="preserve">“invoiced Free Conferencing and </w:t>
      </w:r>
      <w:smartTag w:uri="urn:schemas-microsoft-com:office:smarttags" w:element="place">
        <w:smartTag w:uri="urn:schemas-microsoft-com:office:smarttags" w:element="PlaceType">
          <w:r>
            <w:rPr>
              <w:szCs w:val="22"/>
            </w:rPr>
            <w:t>Ocean</w:t>
          </w:r>
        </w:smartTag>
        <w:r>
          <w:rPr>
            <w:szCs w:val="22"/>
          </w:rPr>
          <w:t xml:space="preserve"> </w:t>
        </w:r>
        <w:smartTag w:uri="urn:schemas-microsoft-com:office:smarttags" w:element="PlaceType">
          <w:r>
            <w:rPr>
              <w:szCs w:val="22"/>
            </w:rPr>
            <w:t>Bay</w:t>
          </w:r>
        </w:smartTag>
      </w:smartTag>
      <w:r>
        <w:rPr>
          <w:szCs w:val="22"/>
        </w:rPr>
        <w:t xml:space="preserve"> for services.”</w:t>
      </w:r>
      <w:r w:rsidR="00481320" w:rsidRPr="009C3954">
        <w:rPr>
          <w:rStyle w:val="FootnoteReference"/>
          <w:sz w:val="22"/>
          <w:szCs w:val="22"/>
        </w:rPr>
        <w:footnoteReference w:id="67"/>
      </w:r>
      <w:r w:rsidR="00481320" w:rsidRPr="009C3954">
        <w:t xml:space="preserve">  </w:t>
      </w:r>
      <w:r w:rsidR="00481320">
        <w:t>T</w:t>
      </w:r>
      <w:r w:rsidR="00481320" w:rsidRPr="009C3954">
        <w:t>he record</w:t>
      </w:r>
      <w:r w:rsidR="00481320">
        <w:t>, however,</w:t>
      </w:r>
      <w:r w:rsidR="00481320" w:rsidRPr="009C3954">
        <w:t xml:space="preserve"> </w:t>
      </w:r>
      <w:r w:rsidR="00B8220C">
        <w:t xml:space="preserve">contains </w:t>
      </w:r>
      <w:r w:rsidR="00481320" w:rsidRPr="009C3954">
        <w:t xml:space="preserve">only a handful of invoices, none of which </w:t>
      </w:r>
      <w:r w:rsidR="00481320">
        <w:t>are for</w:t>
      </w:r>
      <w:r w:rsidR="00481320" w:rsidRPr="009C3954">
        <w:t xml:space="preserve"> monthly tariffed connectivity charges (</w:t>
      </w:r>
      <w:r w:rsidR="00FB3355">
        <w:t>i.e.</w:t>
      </w:r>
      <w:r w:rsidR="0092473D">
        <w:t>, t</w:t>
      </w:r>
      <w:r w:rsidR="00481320" w:rsidRPr="009C3954">
        <w:t>he ISDN charges described above).</w:t>
      </w:r>
      <w:r w:rsidR="00481320" w:rsidRPr="009C3954">
        <w:rPr>
          <w:rStyle w:val="FootnoteReference"/>
          <w:sz w:val="22"/>
          <w:szCs w:val="22"/>
        </w:rPr>
        <w:footnoteReference w:id="68"/>
      </w:r>
      <w:r w:rsidR="00481320" w:rsidRPr="009C3954">
        <w:t xml:space="preserve">  </w:t>
      </w:r>
      <w:r w:rsidR="00DD3B21">
        <w:t>Indeed, Sancom concedes that [r</w:t>
      </w:r>
      <w:r w:rsidR="0027455B">
        <w:t>edacted confidential information regarding Sancom’s unique billing arrangements with the Free Calling Companies.]</w:t>
      </w:r>
      <w:r w:rsidR="0092473D">
        <w:rPr>
          <w:rStyle w:val="FootnoteReference"/>
          <w:szCs w:val="22"/>
        </w:rPr>
        <w:footnoteReference w:id="69"/>
      </w:r>
    </w:p>
    <w:p w:rsidR="00340DEE" w:rsidRPr="009C3954" w:rsidRDefault="0028440F" w:rsidP="00E856EA">
      <w:pPr>
        <w:pStyle w:val="ParaNum"/>
        <w:widowControl/>
        <w:tabs>
          <w:tab w:val="clear" w:pos="1260"/>
          <w:tab w:val="num" w:pos="1440"/>
        </w:tabs>
        <w:ind w:left="0"/>
        <w:jc w:val="left"/>
        <w:rPr>
          <w:szCs w:val="22"/>
        </w:rPr>
      </w:pPr>
      <w:r>
        <w:t>[Redacted confidential information regarding the Free Calling Companies not paying for service.]</w:t>
      </w:r>
      <w:r w:rsidR="00340DEE" w:rsidRPr="009C3954">
        <w:rPr>
          <w:rStyle w:val="FootnoteReference"/>
          <w:iCs/>
          <w:sz w:val="22"/>
          <w:szCs w:val="22"/>
        </w:rPr>
        <w:footnoteReference w:id="70"/>
      </w:r>
      <w:r w:rsidR="00BF67CD" w:rsidRPr="009C3954">
        <w:rPr>
          <w:szCs w:val="22"/>
        </w:rPr>
        <w:t xml:space="preserve">  </w:t>
      </w:r>
      <w:r w:rsidR="00340DEE" w:rsidRPr="009C3954">
        <w:rPr>
          <w:iCs/>
          <w:szCs w:val="22"/>
        </w:rPr>
        <w:t>Sancom</w:t>
      </w:r>
      <w:r w:rsidR="00A72ADE">
        <w:rPr>
          <w:iCs/>
          <w:szCs w:val="22"/>
        </w:rPr>
        <w:t xml:space="preserve"> argues that</w:t>
      </w:r>
      <w:r w:rsidR="00340DEE" w:rsidRPr="009C3954">
        <w:rPr>
          <w:iCs/>
          <w:szCs w:val="22"/>
        </w:rPr>
        <w:t xml:space="preserve"> a “netting” </w:t>
      </w:r>
      <w:r w:rsidR="00E65761" w:rsidRPr="009C3954">
        <w:rPr>
          <w:iCs/>
          <w:szCs w:val="22"/>
        </w:rPr>
        <w:t>process</w:t>
      </w:r>
      <w:r w:rsidR="00340DEE" w:rsidRPr="009C3954">
        <w:rPr>
          <w:iCs/>
          <w:szCs w:val="22"/>
        </w:rPr>
        <w:t xml:space="preserve"> took place</w:t>
      </w:r>
      <w:r w:rsidR="002905D4" w:rsidRPr="009C3954">
        <w:rPr>
          <w:iCs/>
          <w:szCs w:val="22"/>
        </w:rPr>
        <w:t>, whereby</w:t>
      </w:r>
      <w:r w:rsidR="00A72ADE">
        <w:rPr>
          <w:iCs/>
          <w:szCs w:val="22"/>
        </w:rPr>
        <w:t xml:space="preserve"> the Free Calling </w:t>
      </w:r>
      <w:r w:rsidR="00565922">
        <w:rPr>
          <w:iCs/>
          <w:szCs w:val="22"/>
        </w:rPr>
        <w:t>C</w:t>
      </w:r>
      <w:r w:rsidR="00A72ADE">
        <w:rPr>
          <w:iCs/>
          <w:szCs w:val="22"/>
        </w:rPr>
        <w:t>ompanies generated revenue for Sancom sufficient to pay for Sancom’s access charges.</w:t>
      </w:r>
      <w:r w:rsidR="00340DEE" w:rsidRPr="009C3954">
        <w:rPr>
          <w:rStyle w:val="FootnoteReference"/>
          <w:iCs/>
          <w:sz w:val="22"/>
          <w:szCs w:val="22"/>
        </w:rPr>
        <w:footnoteReference w:id="71"/>
      </w:r>
      <w:r w:rsidR="00340DEE" w:rsidRPr="009C3954">
        <w:rPr>
          <w:iCs/>
          <w:szCs w:val="22"/>
        </w:rPr>
        <w:t xml:space="preserve">  </w:t>
      </w:r>
      <w:r w:rsidR="00A72ADE">
        <w:rPr>
          <w:iCs/>
          <w:szCs w:val="22"/>
        </w:rPr>
        <w:t xml:space="preserve">The record, however, </w:t>
      </w:r>
      <w:r w:rsidR="00C721F0">
        <w:rPr>
          <w:iCs/>
          <w:szCs w:val="22"/>
        </w:rPr>
        <w:t xml:space="preserve">flatly </w:t>
      </w:r>
      <w:r w:rsidR="00A72ADE">
        <w:rPr>
          <w:iCs/>
          <w:szCs w:val="22"/>
        </w:rPr>
        <w:t>contradicts this assertion</w:t>
      </w:r>
      <w:r w:rsidR="00C721F0">
        <w:rPr>
          <w:iCs/>
          <w:szCs w:val="22"/>
        </w:rPr>
        <w:t xml:space="preserve"> and shows that no netting </w:t>
      </w:r>
      <w:r w:rsidR="008A7019">
        <w:rPr>
          <w:iCs/>
          <w:szCs w:val="22"/>
        </w:rPr>
        <w:t xml:space="preserve">or offsetting </w:t>
      </w:r>
      <w:r w:rsidR="00C721F0">
        <w:rPr>
          <w:iCs/>
          <w:szCs w:val="22"/>
        </w:rPr>
        <w:t>process took place</w:t>
      </w:r>
      <w:r w:rsidR="00A72ADE">
        <w:rPr>
          <w:iCs/>
          <w:szCs w:val="22"/>
        </w:rPr>
        <w:t>.</w:t>
      </w:r>
      <w:r w:rsidR="00340DEE" w:rsidRPr="009C3954">
        <w:rPr>
          <w:rStyle w:val="FootnoteReference"/>
          <w:iCs/>
          <w:sz w:val="22"/>
          <w:szCs w:val="22"/>
        </w:rPr>
        <w:footnoteReference w:id="72"/>
      </w:r>
      <w:r w:rsidR="00340DEE" w:rsidRPr="009C3954">
        <w:rPr>
          <w:iCs/>
          <w:szCs w:val="22"/>
        </w:rPr>
        <w:t xml:space="preserve"> </w:t>
      </w:r>
      <w:r w:rsidR="00A72ADE">
        <w:rPr>
          <w:iCs/>
          <w:szCs w:val="22"/>
        </w:rPr>
        <w:t xml:space="preserve"> Sancom </w:t>
      </w:r>
      <w:r w:rsidR="00FA25E1">
        <w:rPr>
          <w:iCs/>
          <w:szCs w:val="22"/>
        </w:rPr>
        <w:t>further</w:t>
      </w:r>
      <w:r w:rsidR="00A72ADE">
        <w:rPr>
          <w:iCs/>
          <w:szCs w:val="22"/>
        </w:rPr>
        <w:t xml:space="preserve"> argues that </w:t>
      </w:r>
      <w:r w:rsidR="00A72ADE" w:rsidRPr="009C3954">
        <w:rPr>
          <w:iCs/>
          <w:szCs w:val="22"/>
        </w:rPr>
        <w:t xml:space="preserve">access charge revenues received from IXCs justified not charging </w:t>
      </w:r>
      <w:r w:rsidR="00A72ADE" w:rsidRPr="009C3954">
        <w:rPr>
          <w:szCs w:val="22"/>
        </w:rPr>
        <w:t>the Free Calling Companies</w:t>
      </w:r>
      <w:r w:rsidR="00A72ADE" w:rsidRPr="009C3954">
        <w:rPr>
          <w:iCs/>
          <w:szCs w:val="22"/>
        </w:rPr>
        <w:t xml:space="preserve"> any tariffed monthly rates.</w:t>
      </w:r>
      <w:r w:rsidR="00A72ADE">
        <w:rPr>
          <w:rStyle w:val="FootnoteReference"/>
          <w:iCs/>
          <w:szCs w:val="22"/>
        </w:rPr>
        <w:footnoteReference w:id="73"/>
      </w:r>
      <w:r w:rsidR="00340DEE" w:rsidRPr="009C3954">
        <w:rPr>
          <w:iCs/>
          <w:szCs w:val="22"/>
        </w:rPr>
        <w:t xml:space="preserve"> </w:t>
      </w:r>
      <w:r w:rsidR="00A72ADE">
        <w:rPr>
          <w:iCs/>
          <w:szCs w:val="22"/>
        </w:rPr>
        <w:t xml:space="preserve"> Th</w:t>
      </w:r>
      <w:r w:rsidR="00340DEE" w:rsidRPr="009C3954">
        <w:rPr>
          <w:iCs/>
          <w:szCs w:val="22"/>
        </w:rPr>
        <w:t xml:space="preserve">is argument </w:t>
      </w:r>
      <w:r w:rsidR="00643688">
        <w:rPr>
          <w:iCs/>
          <w:szCs w:val="22"/>
        </w:rPr>
        <w:t xml:space="preserve">also </w:t>
      </w:r>
      <w:r w:rsidR="00340DEE" w:rsidRPr="009C3954">
        <w:rPr>
          <w:iCs/>
          <w:szCs w:val="22"/>
        </w:rPr>
        <w:t>fails</w:t>
      </w:r>
      <w:r w:rsidR="00643688">
        <w:rPr>
          <w:iCs/>
          <w:szCs w:val="22"/>
        </w:rPr>
        <w:t>,</w:t>
      </w:r>
      <w:r w:rsidR="00340DEE" w:rsidRPr="009C3954">
        <w:rPr>
          <w:iCs/>
          <w:szCs w:val="22"/>
        </w:rPr>
        <w:t xml:space="preserve"> because it is plainly inconsistent with the </w:t>
      </w:r>
      <w:r w:rsidR="001317E0">
        <w:rPr>
          <w:iCs/>
          <w:szCs w:val="22"/>
        </w:rPr>
        <w:t xml:space="preserve">Tariff’s </w:t>
      </w:r>
      <w:r w:rsidR="00340DEE" w:rsidRPr="009C3954">
        <w:rPr>
          <w:iCs/>
          <w:szCs w:val="22"/>
        </w:rPr>
        <w:t xml:space="preserve">monthly rates </w:t>
      </w:r>
      <w:r w:rsidR="00276CE7" w:rsidRPr="009C3954">
        <w:rPr>
          <w:iCs/>
          <w:szCs w:val="22"/>
        </w:rPr>
        <w:t>and billing provisions</w:t>
      </w:r>
      <w:r w:rsidR="00643688">
        <w:rPr>
          <w:iCs/>
          <w:szCs w:val="22"/>
        </w:rPr>
        <w:t>.  In</w:t>
      </w:r>
      <w:r w:rsidR="00A72ADE">
        <w:rPr>
          <w:iCs/>
          <w:szCs w:val="22"/>
        </w:rPr>
        <w:t xml:space="preserve"> any event,</w:t>
      </w:r>
      <w:r w:rsidR="00276CE7" w:rsidRPr="009C3954">
        <w:rPr>
          <w:iCs/>
          <w:szCs w:val="22"/>
        </w:rPr>
        <w:t xml:space="preserve"> the</w:t>
      </w:r>
      <w:r w:rsidR="001317E0">
        <w:rPr>
          <w:iCs/>
          <w:szCs w:val="22"/>
        </w:rPr>
        <w:t>re is no evidence</w:t>
      </w:r>
      <w:r w:rsidR="00276CE7" w:rsidRPr="009C3954">
        <w:rPr>
          <w:iCs/>
          <w:szCs w:val="22"/>
        </w:rPr>
        <w:t xml:space="preserve"> that the parties established an</w:t>
      </w:r>
      <w:r w:rsidR="003D5088" w:rsidRPr="009C3954">
        <w:rPr>
          <w:iCs/>
          <w:szCs w:val="22"/>
        </w:rPr>
        <w:t>y</w:t>
      </w:r>
      <w:r w:rsidR="00276CE7" w:rsidRPr="009C3954">
        <w:rPr>
          <w:iCs/>
          <w:szCs w:val="22"/>
        </w:rPr>
        <w:t xml:space="preserve"> alternative </w:t>
      </w:r>
      <w:r w:rsidR="003D5088" w:rsidRPr="009C3954">
        <w:rPr>
          <w:iCs/>
          <w:szCs w:val="22"/>
        </w:rPr>
        <w:t xml:space="preserve">payment </w:t>
      </w:r>
      <w:r w:rsidR="00276CE7" w:rsidRPr="009C3954">
        <w:rPr>
          <w:iCs/>
          <w:szCs w:val="22"/>
        </w:rPr>
        <w:t>arrangement</w:t>
      </w:r>
      <w:r w:rsidR="00340DEE" w:rsidRPr="009C3954">
        <w:rPr>
          <w:iCs/>
          <w:szCs w:val="22"/>
        </w:rPr>
        <w:t xml:space="preserve">. </w:t>
      </w:r>
    </w:p>
    <w:p w:rsidR="00340DEE" w:rsidRPr="009C3954" w:rsidRDefault="00DB772B" w:rsidP="00E856EA">
      <w:pPr>
        <w:pStyle w:val="Heading3"/>
        <w:widowControl/>
        <w:jc w:val="left"/>
      </w:pPr>
      <w:r>
        <w:t xml:space="preserve">In Other Respects, </w:t>
      </w:r>
      <w:r w:rsidR="00340DEE" w:rsidRPr="009C3954">
        <w:t>Sancom</w:t>
      </w:r>
      <w:r>
        <w:t xml:space="preserve"> Did Not </w:t>
      </w:r>
      <w:r w:rsidR="00F10E8D">
        <w:t xml:space="preserve">Treat </w:t>
      </w:r>
      <w:r>
        <w:t>the Free</w:t>
      </w:r>
      <w:r w:rsidR="00D61D16">
        <w:t xml:space="preserve"> Calling Companies</w:t>
      </w:r>
      <w:r w:rsidR="00F10E8D">
        <w:t xml:space="preserve"> As</w:t>
      </w:r>
      <w:r w:rsidR="00D61D16">
        <w:t xml:space="preserve"> End Users Under Its Tariff.</w:t>
      </w:r>
    </w:p>
    <w:p w:rsidR="00063839" w:rsidRPr="009C3954" w:rsidRDefault="00E351B2" w:rsidP="00E856EA">
      <w:pPr>
        <w:pStyle w:val="ParaNum"/>
        <w:widowControl/>
        <w:tabs>
          <w:tab w:val="clear" w:pos="1260"/>
          <w:tab w:val="num" w:pos="1440"/>
        </w:tabs>
        <w:ind w:left="0"/>
        <w:jc w:val="left"/>
        <w:rPr>
          <w:szCs w:val="22"/>
        </w:rPr>
      </w:pPr>
      <w:r w:rsidRPr="009C3954">
        <w:t xml:space="preserve">Sancom </w:t>
      </w:r>
      <w:r w:rsidR="006E6DA1">
        <w:t xml:space="preserve">itself </w:t>
      </w:r>
      <w:r w:rsidR="00C54B9C">
        <w:t>d</w:t>
      </w:r>
      <w:r w:rsidRPr="009C3954">
        <w:t xml:space="preserve">id not </w:t>
      </w:r>
      <w:r w:rsidR="00F10E8D">
        <w:t xml:space="preserve">consider </w:t>
      </w:r>
      <w:r w:rsidRPr="009C3954">
        <w:t>the Free Calling Companies</w:t>
      </w:r>
      <w:r w:rsidR="00F10E8D">
        <w:t xml:space="preserve"> to be</w:t>
      </w:r>
      <w:r w:rsidRPr="009C3954">
        <w:t xml:space="preserve"> </w:t>
      </w:r>
      <w:r w:rsidR="00845A72" w:rsidRPr="009C3954">
        <w:t>end users</w:t>
      </w:r>
      <w:r w:rsidR="00F94CF4" w:rsidRPr="009C3954">
        <w:t xml:space="preserve"> under the Tariff</w:t>
      </w:r>
      <w:r w:rsidRPr="009C3954">
        <w:t xml:space="preserve">.  </w:t>
      </w:r>
      <w:bookmarkStart w:id="27" w:name="OLE_LINK1"/>
      <w:bookmarkStart w:id="28" w:name="OLE_LINK2"/>
      <w:r w:rsidR="00126951">
        <w:t xml:space="preserve">The deposition testimony of Sancom representatives reveals that Sancom viewed the Free Calling Companies more as business partners than local exchange customers.  </w:t>
      </w:r>
      <w:bookmarkEnd w:id="27"/>
      <w:bookmarkEnd w:id="28"/>
      <w:r w:rsidR="00DD3B21">
        <w:t>For example, Sancom’s General Manager [r</w:t>
      </w:r>
      <w:r w:rsidR="0073089F">
        <w:t>edacted confidential information regarding Sancom’s unique business relationship with Free Conferencing.]</w:t>
      </w:r>
      <w:r w:rsidR="00C54B9C" w:rsidRPr="009C3954">
        <w:rPr>
          <w:rStyle w:val="FootnoteReference"/>
          <w:sz w:val="22"/>
          <w:szCs w:val="22"/>
        </w:rPr>
        <w:footnoteReference w:id="74"/>
      </w:r>
      <w:r w:rsidR="00C54B9C">
        <w:rPr>
          <w:szCs w:val="22"/>
        </w:rPr>
        <w:t xml:space="preserve">  </w:t>
      </w:r>
      <w:r w:rsidR="00DD3B21">
        <w:rPr>
          <w:szCs w:val="22"/>
        </w:rPr>
        <w:t xml:space="preserve">Sancom’s Customer Service Manager stated </w:t>
      </w:r>
      <w:r w:rsidR="00DD3B21">
        <w:t>[r</w:t>
      </w:r>
      <w:r w:rsidR="0073089F">
        <w:t>edacted confidential information regarding Sancom’s unique business relationships with the Free Calling Companies.]</w:t>
      </w:r>
      <w:r w:rsidR="00C54B9C" w:rsidRPr="009C3954">
        <w:rPr>
          <w:rStyle w:val="FootnoteReference"/>
          <w:sz w:val="22"/>
          <w:szCs w:val="22"/>
        </w:rPr>
        <w:footnoteReference w:id="75"/>
      </w:r>
      <w:r w:rsidR="00C54B9C" w:rsidRPr="009C3954">
        <w:rPr>
          <w:szCs w:val="22"/>
        </w:rPr>
        <w:t xml:space="preserve">  </w:t>
      </w:r>
      <w:r w:rsidR="0073089F">
        <w:t>[Redacted confidential information regarding Sancom’s unique business relationships with the Free Calling Companies.]</w:t>
      </w:r>
      <w:r w:rsidR="00C54B9C">
        <w:rPr>
          <w:rStyle w:val="FootnoteReference"/>
          <w:szCs w:val="22"/>
        </w:rPr>
        <w:footnoteReference w:id="76"/>
      </w:r>
      <w:r w:rsidR="00C54B9C">
        <w:rPr>
          <w:szCs w:val="22"/>
        </w:rPr>
        <w:t xml:space="preserve">  </w:t>
      </w:r>
      <w:r w:rsidR="00DD3B21">
        <w:rPr>
          <w:szCs w:val="22"/>
        </w:rPr>
        <w:t xml:space="preserve">Indeed, even Sancom’s expert witness acknowledged that </w:t>
      </w:r>
      <w:r w:rsidR="00DD3B21">
        <w:t>[r</w:t>
      </w:r>
      <w:r w:rsidR="0073089F">
        <w:t>edacted confidential information regarding Sancom’s unique business relationship with Free Conferencing.]</w:t>
      </w:r>
      <w:r w:rsidR="00496916" w:rsidRPr="009C3954">
        <w:rPr>
          <w:rStyle w:val="FootnoteReference"/>
          <w:sz w:val="22"/>
          <w:szCs w:val="22"/>
        </w:rPr>
        <w:footnoteReference w:id="77"/>
      </w:r>
      <w:r w:rsidR="00496916" w:rsidRPr="009C3954">
        <w:rPr>
          <w:szCs w:val="22"/>
        </w:rPr>
        <w:t xml:space="preserve">  </w:t>
      </w:r>
    </w:p>
    <w:p w:rsidR="00015B8A" w:rsidRPr="009C3954" w:rsidRDefault="00E733E5" w:rsidP="00A35B86">
      <w:pPr>
        <w:pStyle w:val="ParaNum"/>
        <w:widowControl/>
        <w:tabs>
          <w:tab w:val="clear" w:pos="1260"/>
          <w:tab w:val="num" w:pos="1440"/>
        </w:tabs>
        <w:ind w:left="0"/>
        <w:jc w:val="left"/>
        <w:rPr>
          <w:szCs w:val="22"/>
        </w:rPr>
      </w:pPr>
      <w:r>
        <w:rPr>
          <w:szCs w:val="22"/>
        </w:rPr>
        <w:t xml:space="preserve">In fact, </w:t>
      </w:r>
      <w:r w:rsidR="0011478C" w:rsidRPr="009C3954">
        <w:rPr>
          <w:szCs w:val="22"/>
        </w:rPr>
        <w:t>Sancom did not treat the Free Calling Companies like its typical customers.</w:t>
      </w:r>
      <w:r>
        <w:rPr>
          <w:szCs w:val="22"/>
        </w:rPr>
        <w:t xml:space="preserve">  Although</w:t>
      </w:r>
      <w:r w:rsidR="00496916" w:rsidRPr="009C3954">
        <w:rPr>
          <w:szCs w:val="22"/>
        </w:rPr>
        <w:t xml:space="preserve"> Sancom’s </w:t>
      </w:r>
      <w:r w:rsidR="00015B8A" w:rsidRPr="009C3954">
        <w:rPr>
          <w:szCs w:val="22"/>
        </w:rPr>
        <w:t xml:space="preserve">general </w:t>
      </w:r>
      <w:r w:rsidR="009C3954">
        <w:rPr>
          <w:szCs w:val="22"/>
        </w:rPr>
        <w:t>practice is to require</w:t>
      </w:r>
      <w:r w:rsidR="00496916" w:rsidRPr="009C3954">
        <w:rPr>
          <w:szCs w:val="22"/>
        </w:rPr>
        <w:t xml:space="preserve"> </w:t>
      </w:r>
      <w:r w:rsidR="009C3954">
        <w:rPr>
          <w:szCs w:val="22"/>
        </w:rPr>
        <w:t xml:space="preserve">new </w:t>
      </w:r>
      <w:r w:rsidR="00496916" w:rsidRPr="009C3954">
        <w:rPr>
          <w:szCs w:val="22"/>
        </w:rPr>
        <w:t>customer</w:t>
      </w:r>
      <w:r w:rsidR="00023CF3" w:rsidRPr="009C3954">
        <w:rPr>
          <w:szCs w:val="22"/>
        </w:rPr>
        <w:t>s</w:t>
      </w:r>
      <w:r w:rsidR="00496916" w:rsidRPr="009C3954">
        <w:rPr>
          <w:szCs w:val="22"/>
        </w:rPr>
        <w:t xml:space="preserve"> to </w:t>
      </w:r>
      <w:r w:rsidR="00023CF3" w:rsidRPr="009C3954">
        <w:rPr>
          <w:szCs w:val="22"/>
        </w:rPr>
        <w:t>complete</w:t>
      </w:r>
      <w:r w:rsidR="00496916" w:rsidRPr="009C3954">
        <w:rPr>
          <w:szCs w:val="22"/>
        </w:rPr>
        <w:t xml:space="preserve"> standardized forms, including Sancom’s “Service Application” and “Master Service</w:t>
      </w:r>
      <w:r>
        <w:rPr>
          <w:szCs w:val="22"/>
        </w:rPr>
        <w:t xml:space="preserve"> Agreement Terms and Conditions,</w:t>
      </w:r>
      <w:r w:rsidR="00496916" w:rsidRPr="009C3954">
        <w:rPr>
          <w:szCs w:val="22"/>
        </w:rPr>
        <w:t>”</w:t>
      </w:r>
      <w:r w:rsidR="00496916" w:rsidRPr="009C3954">
        <w:rPr>
          <w:rStyle w:val="FootnoteReference"/>
          <w:rFonts w:cs="TimesNewRoman"/>
          <w:sz w:val="22"/>
          <w:szCs w:val="22"/>
        </w:rPr>
        <w:footnoteReference w:id="78"/>
      </w:r>
      <w:r>
        <w:rPr>
          <w:szCs w:val="22"/>
        </w:rPr>
        <w:t xml:space="preserve"> Sancom did not require t</w:t>
      </w:r>
      <w:r w:rsidR="00496916" w:rsidRPr="009C3954">
        <w:rPr>
          <w:szCs w:val="22"/>
        </w:rPr>
        <w:t>he Free Calli</w:t>
      </w:r>
      <w:r w:rsidR="00023CF3" w:rsidRPr="009C3954">
        <w:rPr>
          <w:szCs w:val="22"/>
        </w:rPr>
        <w:t xml:space="preserve">ng Companies </w:t>
      </w:r>
      <w:r w:rsidR="00496916" w:rsidRPr="009C3954">
        <w:rPr>
          <w:szCs w:val="22"/>
        </w:rPr>
        <w:t>to complete the</w:t>
      </w:r>
      <w:r>
        <w:rPr>
          <w:szCs w:val="22"/>
        </w:rPr>
        <w:t>m</w:t>
      </w:r>
      <w:r w:rsidR="00496916" w:rsidRPr="009C3954">
        <w:rPr>
          <w:szCs w:val="22"/>
        </w:rPr>
        <w:t>.</w:t>
      </w:r>
      <w:bookmarkStart w:id="29" w:name="OLE_LINK41"/>
      <w:bookmarkStart w:id="30" w:name="OLE_LINK42"/>
      <w:r w:rsidR="00496916" w:rsidRPr="009C3954">
        <w:rPr>
          <w:rStyle w:val="FootnoteReference"/>
          <w:rFonts w:cs="TimesNewRoman"/>
          <w:sz w:val="22"/>
          <w:szCs w:val="22"/>
        </w:rPr>
        <w:footnoteReference w:id="79"/>
      </w:r>
      <w:bookmarkEnd w:id="29"/>
      <w:bookmarkEnd w:id="30"/>
      <w:r w:rsidR="00015B8A" w:rsidRPr="009C3954">
        <w:rPr>
          <w:szCs w:val="22"/>
        </w:rPr>
        <w:t xml:space="preserve">  </w:t>
      </w:r>
      <w:r w:rsidR="0021132F">
        <w:t xml:space="preserve">[Redacted confidential information regarding Sancom’s </w:t>
      </w:r>
      <w:r w:rsidR="00126951">
        <w:t>tracking of traffic generated by</w:t>
      </w:r>
      <w:r w:rsidR="0021132F">
        <w:t xml:space="preserve"> the Free Calling Companies.]</w:t>
      </w:r>
      <w:r w:rsidR="009959F5" w:rsidRPr="009C3954">
        <w:rPr>
          <w:rStyle w:val="FootnoteReference"/>
          <w:rFonts w:cs="TimesNewRoman"/>
          <w:sz w:val="22"/>
          <w:szCs w:val="22"/>
        </w:rPr>
        <w:footnoteReference w:id="80"/>
      </w:r>
      <w:r w:rsidR="0011478C" w:rsidRPr="009C3954">
        <w:rPr>
          <w:snapToGrid/>
          <w:kern w:val="0"/>
          <w:szCs w:val="22"/>
        </w:rPr>
        <w:t xml:space="preserve">  </w:t>
      </w:r>
      <w:r w:rsidR="0011478C" w:rsidRPr="009C3954">
        <w:rPr>
          <w:szCs w:val="22"/>
        </w:rPr>
        <w:t xml:space="preserve">  </w:t>
      </w:r>
    </w:p>
    <w:p w:rsidR="00340DEE" w:rsidRPr="009C3954" w:rsidRDefault="00E733E5" w:rsidP="00E856EA">
      <w:pPr>
        <w:pStyle w:val="ParaNum"/>
        <w:widowControl/>
        <w:tabs>
          <w:tab w:val="clear" w:pos="1260"/>
          <w:tab w:val="num" w:pos="1440"/>
        </w:tabs>
        <w:ind w:left="0"/>
        <w:jc w:val="left"/>
        <w:rPr>
          <w:szCs w:val="22"/>
        </w:rPr>
      </w:pPr>
      <w:r>
        <w:rPr>
          <w:szCs w:val="22"/>
        </w:rPr>
        <w:t xml:space="preserve">Moreover, </w:t>
      </w:r>
      <w:r w:rsidR="00E351B2" w:rsidRPr="009C3954">
        <w:rPr>
          <w:szCs w:val="22"/>
        </w:rPr>
        <w:t>despite the requirement that a</w:t>
      </w:r>
      <w:r w:rsidR="00340DEE" w:rsidRPr="009C3954">
        <w:rPr>
          <w:szCs w:val="22"/>
        </w:rPr>
        <w:t xml:space="preserve"> common carrier “[hold itself] out to serve in</w:t>
      </w:r>
      <w:r w:rsidR="00E351B2" w:rsidRPr="009C3954">
        <w:rPr>
          <w:szCs w:val="22"/>
        </w:rPr>
        <w:t>differently all potential users,</w:t>
      </w:r>
      <w:r w:rsidR="00340DEE" w:rsidRPr="009C3954">
        <w:rPr>
          <w:szCs w:val="22"/>
        </w:rPr>
        <w:t>”</w:t>
      </w:r>
      <w:r w:rsidR="00340DEE" w:rsidRPr="009C3954">
        <w:rPr>
          <w:rStyle w:val="FootnoteReference"/>
          <w:iCs/>
          <w:sz w:val="22"/>
          <w:szCs w:val="22"/>
        </w:rPr>
        <w:footnoteReference w:id="81"/>
      </w:r>
      <w:r w:rsidR="00340DEE" w:rsidRPr="009C3954">
        <w:rPr>
          <w:szCs w:val="22"/>
        </w:rPr>
        <w:t xml:space="preserve"> </w:t>
      </w:r>
      <w:r w:rsidR="009A03E6">
        <w:rPr>
          <w:szCs w:val="22"/>
        </w:rPr>
        <w:t>Sancom eschewed</w:t>
      </w:r>
      <w:r w:rsidR="008915C7">
        <w:rPr>
          <w:szCs w:val="22"/>
        </w:rPr>
        <w:t xml:space="preserve"> </w:t>
      </w:r>
      <w:r w:rsidR="00C721F0">
        <w:rPr>
          <w:szCs w:val="22"/>
        </w:rPr>
        <w:t xml:space="preserve">similar </w:t>
      </w:r>
      <w:r w:rsidR="008915C7">
        <w:rPr>
          <w:szCs w:val="22"/>
        </w:rPr>
        <w:t xml:space="preserve">arrangements </w:t>
      </w:r>
      <w:r w:rsidR="009A03E6">
        <w:rPr>
          <w:szCs w:val="22"/>
        </w:rPr>
        <w:t xml:space="preserve">with </w:t>
      </w:r>
      <w:r w:rsidR="00C721F0">
        <w:rPr>
          <w:szCs w:val="22"/>
        </w:rPr>
        <w:t xml:space="preserve">other </w:t>
      </w:r>
      <w:r w:rsidR="009A03E6">
        <w:rPr>
          <w:szCs w:val="22"/>
        </w:rPr>
        <w:t>entities.</w:t>
      </w:r>
      <w:r w:rsidR="009A03E6">
        <w:rPr>
          <w:rStyle w:val="FootnoteReference"/>
          <w:szCs w:val="22"/>
        </w:rPr>
        <w:footnoteReference w:id="82"/>
      </w:r>
      <w:r w:rsidR="009A03E6">
        <w:rPr>
          <w:szCs w:val="22"/>
        </w:rPr>
        <w:t xml:space="preserve">  </w:t>
      </w:r>
      <w:r w:rsidR="00686F6E">
        <w:rPr>
          <w:szCs w:val="22"/>
        </w:rPr>
        <w:t xml:space="preserve">In fact, </w:t>
      </w:r>
      <w:r>
        <w:rPr>
          <w:szCs w:val="22"/>
        </w:rPr>
        <w:t xml:space="preserve">Sancom refused overtures from </w:t>
      </w:r>
      <w:r w:rsidR="00E351B2" w:rsidRPr="009C3954">
        <w:rPr>
          <w:szCs w:val="22"/>
        </w:rPr>
        <w:t xml:space="preserve">other entities </w:t>
      </w:r>
      <w:r>
        <w:rPr>
          <w:szCs w:val="22"/>
        </w:rPr>
        <w:t xml:space="preserve">that </w:t>
      </w:r>
      <w:r w:rsidR="00E351B2" w:rsidRPr="009C3954">
        <w:rPr>
          <w:szCs w:val="22"/>
        </w:rPr>
        <w:t xml:space="preserve">sought </w:t>
      </w:r>
      <w:r w:rsidR="00F10E8D">
        <w:rPr>
          <w:szCs w:val="22"/>
        </w:rPr>
        <w:t xml:space="preserve">to enter access stimulation </w:t>
      </w:r>
      <w:r>
        <w:rPr>
          <w:szCs w:val="22"/>
        </w:rPr>
        <w:t xml:space="preserve">arrangements </w:t>
      </w:r>
      <w:r w:rsidR="00F10E8D">
        <w:rPr>
          <w:szCs w:val="22"/>
        </w:rPr>
        <w:t>similar to</w:t>
      </w:r>
      <w:r w:rsidR="00686F6E">
        <w:rPr>
          <w:szCs w:val="22"/>
        </w:rPr>
        <w:t xml:space="preserve"> those </w:t>
      </w:r>
      <w:r w:rsidR="00851D62">
        <w:rPr>
          <w:szCs w:val="22"/>
        </w:rPr>
        <w:t>with</w:t>
      </w:r>
      <w:r w:rsidR="00F10E8D">
        <w:rPr>
          <w:szCs w:val="22"/>
        </w:rPr>
        <w:t xml:space="preserve"> the Free </w:t>
      </w:r>
      <w:r w:rsidR="008915C7">
        <w:rPr>
          <w:szCs w:val="22"/>
        </w:rPr>
        <w:t>Conferencing</w:t>
      </w:r>
      <w:r w:rsidR="00686F6E">
        <w:rPr>
          <w:szCs w:val="22"/>
        </w:rPr>
        <w:t xml:space="preserve">, for fear that </w:t>
      </w:r>
      <w:r w:rsidR="00484FBF" w:rsidRPr="009C3954">
        <w:rPr>
          <w:szCs w:val="22"/>
        </w:rPr>
        <w:t xml:space="preserve">those </w:t>
      </w:r>
      <w:r w:rsidR="00851D62">
        <w:rPr>
          <w:szCs w:val="22"/>
        </w:rPr>
        <w:t>potential business partners</w:t>
      </w:r>
      <w:r w:rsidR="00484FBF" w:rsidRPr="009C3954">
        <w:rPr>
          <w:szCs w:val="22"/>
        </w:rPr>
        <w:t xml:space="preserve"> w</w:t>
      </w:r>
      <w:r w:rsidR="00340DEE" w:rsidRPr="009C3954">
        <w:rPr>
          <w:szCs w:val="22"/>
        </w:rPr>
        <w:t>ould compet</w:t>
      </w:r>
      <w:r w:rsidR="00E351B2" w:rsidRPr="009C3954">
        <w:rPr>
          <w:szCs w:val="22"/>
        </w:rPr>
        <w:t xml:space="preserve">e with </w:t>
      </w:r>
      <w:r w:rsidR="00DA4423">
        <w:rPr>
          <w:szCs w:val="22"/>
        </w:rPr>
        <w:t xml:space="preserve">Free </w:t>
      </w:r>
      <w:r w:rsidR="008915C7">
        <w:rPr>
          <w:szCs w:val="22"/>
        </w:rPr>
        <w:t>Conferencing</w:t>
      </w:r>
      <w:r w:rsidR="00E351B2" w:rsidRPr="009C3954">
        <w:rPr>
          <w:szCs w:val="22"/>
        </w:rPr>
        <w:t>.</w:t>
      </w:r>
      <w:r w:rsidR="000F246C">
        <w:rPr>
          <w:rStyle w:val="FootnoteReference"/>
          <w:szCs w:val="22"/>
        </w:rPr>
        <w:footnoteReference w:id="83"/>
      </w:r>
      <w:r w:rsidR="00E351B2" w:rsidRPr="009C3954">
        <w:rPr>
          <w:szCs w:val="22"/>
        </w:rPr>
        <w:t xml:space="preserve">  </w:t>
      </w:r>
      <w:r w:rsidR="00332AF3">
        <w:rPr>
          <w:szCs w:val="22"/>
        </w:rPr>
        <w:t xml:space="preserve">What’s more, Sancom’s agreements with the </w:t>
      </w:r>
      <w:r w:rsidR="00332AF3" w:rsidRPr="009C3954">
        <w:rPr>
          <w:szCs w:val="22"/>
        </w:rPr>
        <w:t>Free Calling Companies</w:t>
      </w:r>
      <w:r w:rsidR="00332AF3">
        <w:rPr>
          <w:szCs w:val="22"/>
        </w:rPr>
        <w:t xml:space="preserve"> contained confidentiality clauses that prohibited the parties from revealing the agreements’ terms.</w:t>
      </w:r>
      <w:r w:rsidR="00332AF3" w:rsidRPr="009C3954">
        <w:rPr>
          <w:rStyle w:val="FootnoteReference"/>
          <w:sz w:val="22"/>
          <w:szCs w:val="22"/>
        </w:rPr>
        <w:footnoteReference w:id="84"/>
      </w:r>
      <w:r w:rsidR="0011478C" w:rsidRPr="009C3954">
        <w:rPr>
          <w:szCs w:val="22"/>
        </w:rPr>
        <w:t xml:space="preserve">  </w:t>
      </w:r>
      <w:r w:rsidR="0021132F">
        <w:t>[Redacted confidential information regarding Sancom’s exclusive relationships with the Free Calling Companies.]</w:t>
      </w:r>
      <w:r w:rsidR="005D09B2">
        <w:rPr>
          <w:rStyle w:val="FootnoteReference"/>
        </w:rPr>
        <w:footnoteReference w:id="85"/>
      </w:r>
      <w:r w:rsidR="005D09B2" w:rsidRPr="00E67D49">
        <w:t xml:space="preserve">  </w:t>
      </w:r>
      <w:r w:rsidR="00EF14DD" w:rsidRPr="009C3954">
        <w:rPr>
          <w:szCs w:val="22"/>
        </w:rPr>
        <w:t>Thus, despite</w:t>
      </w:r>
      <w:r w:rsidR="00340DEE" w:rsidRPr="009C3954">
        <w:rPr>
          <w:szCs w:val="22"/>
        </w:rPr>
        <w:t xml:space="preserve"> Sancom’s </w:t>
      </w:r>
      <w:r w:rsidR="00B04B62">
        <w:rPr>
          <w:szCs w:val="22"/>
        </w:rPr>
        <w:t>contention</w:t>
      </w:r>
      <w:r w:rsidR="00340DEE" w:rsidRPr="009C3954">
        <w:rPr>
          <w:szCs w:val="22"/>
        </w:rPr>
        <w:t xml:space="preserve"> that it undertook a </w:t>
      </w:r>
      <w:r w:rsidR="00D34B5E">
        <w:rPr>
          <w:szCs w:val="22"/>
        </w:rPr>
        <w:t>reasonable</w:t>
      </w:r>
      <w:r w:rsidR="00AB6ACF" w:rsidRPr="009C3954">
        <w:rPr>
          <w:szCs w:val="22"/>
        </w:rPr>
        <w:t xml:space="preserve"> </w:t>
      </w:r>
      <w:r w:rsidR="00340DEE" w:rsidRPr="009C3954">
        <w:rPr>
          <w:szCs w:val="22"/>
        </w:rPr>
        <w:t xml:space="preserve">case-by-case evaluation of potential </w:t>
      </w:r>
      <w:r w:rsidR="00D34B5E">
        <w:rPr>
          <w:szCs w:val="22"/>
        </w:rPr>
        <w:t>customers</w:t>
      </w:r>
      <w:r w:rsidR="0011478C" w:rsidRPr="009C3954">
        <w:rPr>
          <w:szCs w:val="22"/>
        </w:rPr>
        <w:t>,</w:t>
      </w:r>
      <w:r w:rsidR="00340DEE" w:rsidRPr="009C3954">
        <w:rPr>
          <w:rStyle w:val="FootnoteReference"/>
          <w:rFonts w:cs="TimesNewRoman"/>
          <w:sz w:val="22"/>
          <w:szCs w:val="22"/>
        </w:rPr>
        <w:footnoteReference w:id="86"/>
      </w:r>
      <w:r w:rsidR="0011478C" w:rsidRPr="009C3954">
        <w:rPr>
          <w:szCs w:val="22"/>
        </w:rPr>
        <w:t xml:space="preserve"> </w:t>
      </w:r>
      <w:r w:rsidR="00F10E8D">
        <w:rPr>
          <w:szCs w:val="22"/>
        </w:rPr>
        <w:t xml:space="preserve">it appears that </w:t>
      </w:r>
      <w:r w:rsidR="00E351B2" w:rsidRPr="009C3954">
        <w:rPr>
          <w:szCs w:val="22"/>
        </w:rPr>
        <w:t xml:space="preserve">Sancom </w:t>
      </w:r>
      <w:r w:rsidR="00340DEE" w:rsidRPr="009C3954">
        <w:rPr>
          <w:szCs w:val="22"/>
        </w:rPr>
        <w:t>evaluated whether potential customer</w:t>
      </w:r>
      <w:r w:rsidR="00A572D9">
        <w:rPr>
          <w:szCs w:val="22"/>
        </w:rPr>
        <w:t>s</w:t>
      </w:r>
      <w:r w:rsidR="00340DEE" w:rsidRPr="009C3954">
        <w:rPr>
          <w:szCs w:val="22"/>
        </w:rPr>
        <w:t xml:space="preserve"> would comp</w:t>
      </w:r>
      <w:r w:rsidR="00D34B5E">
        <w:rPr>
          <w:szCs w:val="22"/>
        </w:rPr>
        <w:t>ete with its</w:t>
      </w:r>
      <w:r w:rsidR="0011478C" w:rsidRPr="009C3954">
        <w:rPr>
          <w:szCs w:val="22"/>
        </w:rPr>
        <w:t xml:space="preserve"> </w:t>
      </w:r>
      <w:r w:rsidR="00D34B5E">
        <w:rPr>
          <w:szCs w:val="22"/>
        </w:rPr>
        <w:t>business partners, the Free Calling Companies</w:t>
      </w:r>
      <w:r w:rsidR="0011478C" w:rsidRPr="009C3954">
        <w:rPr>
          <w:szCs w:val="22"/>
        </w:rPr>
        <w:t>.</w:t>
      </w:r>
      <w:r w:rsidR="006A0913" w:rsidRPr="009C3954">
        <w:rPr>
          <w:rStyle w:val="FootnoteReference"/>
          <w:sz w:val="22"/>
          <w:szCs w:val="22"/>
        </w:rPr>
        <w:footnoteReference w:id="87"/>
      </w:r>
      <w:r w:rsidR="00F10E8D">
        <w:rPr>
          <w:szCs w:val="22"/>
        </w:rPr>
        <w:t xml:space="preserve">  In this manner, Sancom’s relationships with the Free Calling Companies were exclusive and demonstrate </w:t>
      </w:r>
      <w:r w:rsidR="00C61117">
        <w:rPr>
          <w:szCs w:val="22"/>
        </w:rPr>
        <w:t>an</w:t>
      </w:r>
      <w:r w:rsidR="00F10E8D">
        <w:rPr>
          <w:szCs w:val="22"/>
        </w:rPr>
        <w:t xml:space="preserve"> intention</w:t>
      </w:r>
      <w:r w:rsidR="00C61117">
        <w:rPr>
          <w:szCs w:val="22"/>
        </w:rPr>
        <w:t xml:space="preserve"> for Sancom</w:t>
      </w:r>
      <w:r w:rsidR="00F10E8D">
        <w:rPr>
          <w:szCs w:val="22"/>
        </w:rPr>
        <w:t xml:space="preserve"> not to provide service as a common carrier.</w:t>
      </w:r>
      <w:r w:rsidR="00F10E8D">
        <w:rPr>
          <w:rStyle w:val="FootnoteReference"/>
          <w:szCs w:val="22"/>
        </w:rPr>
        <w:footnoteReference w:id="88"/>
      </w:r>
    </w:p>
    <w:p w:rsidR="00340DEE" w:rsidRPr="009C3954" w:rsidRDefault="001648CD" w:rsidP="00E856EA">
      <w:pPr>
        <w:pStyle w:val="ParaNum"/>
        <w:widowControl/>
        <w:tabs>
          <w:tab w:val="clear" w:pos="1260"/>
        </w:tabs>
        <w:ind w:left="0"/>
        <w:jc w:val="left"/>
        <w:rPr>
          <w:szCs w:val="22"/>
        </w:rPr>
      </w:pPr>
      <w:r>
        <w:rPr>
          <w:szCs w:val="22"/>
        </w:rPr>
        <w:t>W</w:t>
      </w:r>
      <w:r w:rsidR="00284A40">
        <w:rPr>
          <w:szCs w:val="22"/>
        </w:rPr>
        <w:t>e reject</w:t>
      </w:r>
      <w:r w:rsidR="000D4309">
        <w:rPr>
          <w:szCs w:val="22"/>
        </w:rPr>
        <w:t xml:space="preserve"> Sancom’s argument</w:t>
      </w:r>
      <w:r w:rsidR="00284A40">
        <w:rPr>
          <w:szCs w:val="22"/>
        </w:rPr>
        <w:t xml:space="preserve"> that</w:t>
      </w:r>
      <w:r w:rsidR="00023CF3" w:rsidRPr="009C3954">
        <w:rPr>
          <w:szCs w:val="22"/>
        </w:rPr>
        <w:t xml:space="preserve"> </w:t>
      </w:r>
      <w:r w:rsidR="000D4309">
        <w:rPr>
          <w:szCs w:val="22"/>
        </w:rPr>
        <w:t xml:space="preserve">its </w:t>
      </w:r>
      <w:r w:rsidR="00340DEE" w:rsidRPr="009C3954">
        <w:rPr>
          <w:szCs w:val="22"/>
        </w:rPr>
        <w:t>agreements with the Free Calling Companies were Individual Case Basis</w:t>
      </w:r>
      <w:r w:rsidR="002643FA">
        <w:rPr>
          <w:szCs w:val="22"/>
        </w:rPr>
        <w:t xml:space="preserve"> (ICB</w:t>
      </w:r>
      <w:r w:rsidR="000D4309">
        <w:rPr>
          <w:szCs w:val="22"/>
        </w:rPr>
        <w:t>) arrangements.</w:t>
      </w:r>
      <w:r w:rsidR="00284A40">
        <w:rPr>
          <w:rStyle w:val="FootnoteReference"/>
          <w:szCs w:val="22"/>
        </w:rPr>
        <w:footnoteReference w:id="89"/>
      </w:r>
      <w:r w:rsidR="00340DEE" w:rsidRPr="009C3954">
        <w:rPr>
          <w:szCs w:val="22"/>
        </w:rPr>
        <w:t xml:space="preserve">  </w:t>
      </w:r>
      <w:r w:rsidR="004376BA" w:rsidRPr="009C3954">
        <w:rPr>
          <w:szCs w:val="22"/>
        </w:rPr>
        <w:t>The term “Individual Case Basis,” as used in the Tariff, “denotes a condition in which the regulations, if applicable, rates and charges for an offering under the provisions of this tariff are developed based on the circumstances in each case.”</w:t>
      </w:r>
      <w:r w:rsidR="004376BA" w:rsidRPr="009C3954">
        <w:rPr>
          <w:rStyle w:val="FootnoteReference"/>
          <w:sz w:val="22"/>
          <w:szCs w:val="22"/>
        </w:rPr>
        <w:footnoteReference w:id="90"/>
      </w:r>
      <w:r w:rsidR="004376BA" w:rsidRPr="009C3954">
        <w:rPr>
          <w:szCs w:val="22"/>
        </w:rPr>
        <w:t xml:space="preserve">  </w:t>
      </w:r>
      <w:r w:rsidR="00FA57F5">
        <w:rPr>
          <w:szCs w:val="22"/>
        </w:rPr>
        <w:t>To begin, t</w:t>
      </w:r>
      <w:r w:rsidR="00340DEE" w:rsidRPr="009C3954">
        <w:rPr>
          <w:snapToGrid/>
          <w:kern w:val="0"/>
          <w:szCs w:val="22"/>
        </w:rPr>
        <w:t xml:space="preserve">he agreements with </w:t>
      </w:r>
      <w:r w:rsidR="00340DEE" w:rsidRPr="009C3954">
        <w:rPr>
          <w:szCs w:val="22"/>
        </w:rPr>
        <w:t>the Free Calling Companies</w:t>
      </w:r>
      <w:r w:rsidR="00FA57F5">
        <w:rPr>
          <w:szCs w:val="22"/>
        </w:rPr>
        <w:t xml:space="preserve"> bear no indications that they pertain in any way to the services offered under the Tariff.  To the contrary,</w:t>
      </w:r>
      <w:r w:rsidR="00776984" w:rsidRPr="009C3954">
        <w:rPr>
          <w:szCs w:val="22"/>
        </w:rPr>
        <w:t xml:space="preserve"> the agreements </w:t>
      </w:r>
      <w:r w:rsidR="00340DEE" w:rsidRPr="009C3954">
        <w:rPr>
          <w:szCs w:val="22"/>
        </w:rPr>
        <w:t>contain provisions that</w:t>
      </w:r>
      <w:r w:rsidR="00FA57F5">
        <w:rPr>
          <w:szCs w:val="22"/>
        </w:rPr>
        <w:t xml:space="preserve"> not only are i</w:t>
      </w:r>
      <w:r w:rsidR="00340DEE" w:rsidRPr="009C3954">
        <w:rPr>
          <w:szCs w:val="22"/>
        </w:rPr>
        <w:t xml:space="preserve">nconsistent with the Tariff, </w:t>
      </w:r>
      <w:r w:rsidR="00FA57F5">
        <w:rPr>
          <w:szCs w:val="22"/>
        </w:rPr>
        <w:t xml:space="preserve">but that </w:t>
      </w:r>
      <w:r w:rsidR="00340DEE" w:rsidRPr="009C3954">
        <w:rPr>
          <w:szCs w:val="22"/>
        </w:rPr>
        <w:t xml:space="preserve">appear to </w:t>
      </w:r>
      <w:r w:rsidR="00776984" w:rsidRPr="009C3954">
        <w:rPr>
          <w:szCs w:val="22"/>
        </w:rPr>
        <w:t>be</w:t>
      </w:r>
      <w:r w:rsidR="00340DEE" w:rsidRPr="009C3954">
        <w:rPr>
          <w:szCs w:val="22"/>
        </w:rPr>
        <w:t xml:space="preserve"> purposefully structured</w:t>
      </w:r>
      <w:r w:rsidR="00FA57F5">
        <w:rPr>
          <w:szCs w:val="22"/>
        </w:rPr>
        <w:t xml:space="preserve"> to avoid</w:t>
      </w:r>
      <w:r w:rsidR="00340DEE" w:rsidRPr="009C3954">
        <w:rPr>
          <w:szCs w:val="22"/>
        </w:rPr>
        <w:t xml:space="preserve"> a traditional tariffed offering</w:t>
      </w:r>
      <w:r w:rsidR="00FA57F5">
        <w:rPr>
          <w:szCs w:val="22"/>
        </w:rPr>
        <w:t xml:space="preserve">.  </w:t>
      </w:r>
      <w:r w:rsidR="00332AF3">
        <w:rPr>
          <w:szCs w:val="22"/>
        </w:rPr>
        <w:t xml:space="preserve">For example, the agreements contain minimum usage requirements, provide that the Free Calling Companies would be required to renegotiate the agreements if Sancom is unable to </w:t>
      </w:r>
      <w:r w:rsidR="00332AF3" w:rsidRPr="009C3954">
        <w:rPr>
          <w:szCs w:val="22"/>
        </w:rPr>
        <w:t xml:space="preserve">collect </w:t>
      </w:r>
      <w:r w:rsidR="00332AF3">
        <w:rPr>
          <w:szCs w:val="22"/>
        </w:rPr>
        <w:t>access stimulation</w:t>
      </w:r>
      <w:r w:rsidR="00332AF3" w:rsidRPr="009C3954">
        <w:rPr>
          <w:szCs w:val="22"/>
        </w:rPr>
        <w:t xml:space="preserve"> revenues from IXCs, and </w:t>
      </w:r>
      <w:r w:rsidR="00332AF3">
        <w:rPr>
          <w:szCs w:val="22"/>
        </w:rPr>
        <w:t xml:space="preserve">establish that the </w:t>
      </w:r>
      <w:r w:rsidR="00332AF3" w:rsidRPr="009C3954">
        <w:rPr>
          <w:szCs w:val="22"/>
        </w:rPr>
        <w:t xml:space="preserve">agreements </w:t>
      </w:r>
      <w:r w:rsidR="00332AF3">
        <w:rPr>
          <w:szCs w:val="22"/>
        </w:rPr>
        <w:t>must</w:t>
      </w:r>
      <w:r w:rsidR="00332AF3" w:rsidRPr="009C3954">
        <w:rPr>
          <w:szCs w:val="22"/>
        </w:rPr>
        <w:t xml:space="preserve"> be “interpreted, construed and enforced in accordance with the laws of the State of </w:t>
      </w:r>
      <w:smartTag w:uri="urn:schemas-microsoft-com:office:smarttags" w:element="place">
        <w:smartTag w:uri="urn:schemas-microsoft-com:office:smarttags" w:element="State">
          <w:r w:rsidR="00332AF3" w:rsidRPr="009C3954">
            <w:rPr>
              <w:szCs w:val="22"/>
            </w:rPr>
            <w:t>South Dakota</w:t>
          </w:r>
        </w:smartTag>
      </w:smartTag>
      <w:r w:rsidR="00332AF3" w:rsidRPr="009C3954">
        <w:rPr>
          <w:szCs w:val="22"/>
        </w:rPr>
        <w:t>.”</w:t>
      </w:r>
      <w:r w:rsidR="00332AF3" w:rsidRPr="009C3954">
        <w:rPr>
          <w:rStyle w:val="FootnoteReference"/>
          <w:sz w:val="22"/>
          <w:szCs w:val="22"/>
        </w:rPr>
        <w:footnoteReference w:id="91"/>
      </w:r>
      <w:r w:rsidR="00340DEE" w:rsidRPr="009C3954">
        <w:rPr>
          <w:szCs w:val="22"/>
        </w:rPr>
        <w:t xml:space="preserve">  None of these provisions </w:t>
      </w:r>
      <w:r w:rsidR="00C32069">
        <w:rPr>
          <w:szCs w:val="22"/>
        </w:rPr>
        <w:t>is</w:t>
      </w:r>
      <w:r w:rsidR="00340DEE" w:rsidRPr="009C3954">
        <w:rPr>
          <w:szCs w:val="22"/>
        </w:rPr>
        <w:t xml:space="preserve"> found in the Tariff.</w:t>
      </w:r>
    </w:p>
    <w:p w:rsidR="00B17338" w:rsidRPr="00B17338" w:rsidRDefault="00340DEE" w:rsidP="00E856EA">
      <w:pPr>
        <w:pStyle w:val="ParaNum"/>
        <w:widowControl/>
        <w:tabs>
          <w:tab w:val="clear" w:pos="1260"/>
          <w:tab w:val="num" w:pos="1440"/>
        </w:tabs>
        <w:ind w:left="0"/>
        <w:jc w:val="left"/>
        <w:rPr>
          <w:szCs w:val="22"/>
        </w:rPr>
      </w:pPr>
      <w:r w:rsidRPr="009C3954">
        <w:rPr>
          <w:szCs w:val="22"/>
        </w:rPr>
        <w:t>Sancom</w:t>
      </w:r>
      <w:r w:rsidR="00165253">
        <w:rPr>
          <w:szCs w:val="22"/>
        </w:rPr>
        <w:t xml:space="preserve"> contends that it has no federal law obligation to </w:t>
      </w:r>
      <w:r w:rsidR="00FF20AF">
        <w:rPr>
          <w:szCs w:val="22"/>
        </w:rPr>
        <w:t xml:space="preserve">post or otherwise </w:t>
      </w:r>
      <w:r w:rsidR="00165253">
        <w:rPr>
          <w:szCs w:val="22"/>
        </w:rPr>
        <w:t xml:space="preserve">make public its purported ICB </w:t>
      </w:r>
      <w:r w:rsidRPr="009C3954">
        <w:rPr>
          <w:szCs w:val="22"/>
        </w:rPr>
        <w:t xml:space="preserve">arrangements with Free Conferencing and </w:t>
      </w:r>
      <w:smartTag w:uri="urn:schemas-microsoft-com:office:smarttags" w:element="PlaceType">
        <w:r w:rsidRPr="009C3954">
          <w:rPr>
            <w:szCs w:val="22"/>
          </w:rPr>
          <w:t>Ocean</w:t>
        </w:r>
      </w:smartTag>
      <w:r w:rsidRPr="009C3954">
        <w:rPr>
          <w:szCs w:val="22"/>
        </w:rPr>
        <w:t xml:space="preserve"> </w:t>
      </w:r>
      <w:smartTag w:uri="urn:schemas-microsoft-com:office:smarttags" w:element="PlaceType">
        <w:r w:rsidRPr="009C3954">
          <w:rPr>
            <w:szCs w:val="22"/>
          </w:rPr>
          <w:t>Bay</w:t>
        </w:r>
      </w:smartTag>
      <w:r w:rsidRPr="009C3954">
        <w:rPr>
          <w:szCs w:val="22"/>
        </w:rPr>
        <w:t>,</w:t>
      </w:r>
      <w:r w:rsidR="00165253">
        <w:rPr>
          <w:szCs w:val="22"/>
        </w:rPr>
        <w:t xml:space="preserve"> and that </w:t>
      </w:r>
      <w:smartTag w:uri="urn:schemas-microsoft-com:office:smarttags" w:element="place">
        <w:smartTag w:uri="urn:schemas-microsoft-com:office:smarttags" w:element="State">
          <w:r w:rsidR="00165253">
            <w:rPr>
              <w:szCs w:val="22"/>
            </w:rPr>
            <w:t>South Dakota</w:t>
          </w:r>
        </w:smartTag>
      </w:smartTag>
      <w:r w:rsidR="00165253">
        <w:rPr>
          <w:szCs w:val="22"/>
        </w:rPr>
        <w:t xml:space="preserve"> law “makes clear that such disclosure is not required for a host of reasons.”</w:t>
      </w:r>
      <w:r w:rsidRPr="009C3954">
        <w:rPr>
          <w:rStyle w:val="FootnoteReference"/>
          <w:iCs/>
          <w:sz w:val="22"/>
          <w:szCs w:val="22"/>
        </w:rPr>
        <w:footnoteReference w:id="92"/>
      </w:r>
      <w:r w:rsidRPr="009C3954">
        <w:rPr>
          <w:szCs w:val="22"/>
        </w:rPr>
        <w:t xml:space="preserve">  </w:t>
      </w:r>
      <w:r w:rsidR="00FF20AF">
        <w:rPr>
          <w:szCs w:val="22"/>
        </w:rPr>
        <w:t>Although Sancom is</w:t>
      </w:r>
      <w:r w:rsidRPr="009C3954">
        <w:rPr>
          <w:szCs w:val="22"/>
        </w:rPr>
        <w:t xml:space="preserve"> correct that</w:t>
      </w:r>
      <w:r w:rsidR="00FF20AF">
        <w:rPr>
          <w:szCs w:val="22"/>
        </w:rPr>
        <w:t>, to date,</w:t>
      </w:r>
      <w:r w:rsidR="00FF20AF" w:rsidRPr="00E67D49">
        <w:t xml:space="preserve"> </w:t>
      </w:r>
      <w:r w:rsidR="00FF20AF">
        <w:t>t</w:t>
      </w:r>
      <w:r w:rsidR="00D118BB">
        <w:t>he Commission has</w:t>
      </w:r>
      <w:r w:rsidR="00FF20AF" w:rsidRPr="00E67D49">
        <w:t xml:space="preserve"> not imposed such a requirement</w:t>
      </w:r>
      <w:r w:rsidR="00FF20AF">
        <w:t>,</w:t>
      </w:r>
      <w:r w:rsidR="00FF20AF" w:rsidRPr="009C3954">
        <w:rPr>
          <w:rStyle w:val="FootnoteReference"/>
          <w:sz w:val="22"/>
          <w:szCs w:val="22"/>
        </w:rPr>
        <w:footnoteReference w:id="93"/>
      </w:r>
      <w:r w:rsidR="00FF20AF">
        <w:t xml:space="preserve"> in this case we review </w:t>
      </w:r>
      <w:r w:rsidR="00FF20AF" w:rsidRPr="00E67D49">
        <w:t xml:space="preserve">Sancom’s compliance with its </w:t>
      </w:r>
      <w:r w:rsidR="00FF20AF" w:rsidRPr="00E67D49">
        <w:rPr>
          <w:i/>
        </w:rPr>
        <w:t>filed</w:t>
      </w:r>
      <w:r w:rsidR="00FF20AF" w:rsidRPr="00E67D49">
        <w:t xml:space="preserve"> Tariff</w:t>
      </w:r>
      <w:r w:rsidR="00FF20AF">
        <w:t xml:space="preserve">.  The </w:t>
      </w:r>
      <w:r w:rsidR="00FF20AF" w:rsidRPr="00E67D49">
        <w:t xml:space="preserve">fact </w:t>
      </w:r>
      <w:r w:rsidR="00FF20AF">
        <w:t xml:space="preserve">that </w:t>
      </w:r>
      <w:r w:rsidR="00FF20AF" w:rsidRPr="00E67D49">
        <w:t xml:space="preserve">Sancom had </w:t>
      </w:r>
      <w:r w:rsidR="00FF20AF">
        <w:t>confidential, exclusive</w:t>
      </w:r>
      <w:r w:rsidR="00FF20AF" w:rsidRPr="00E67D49">
        <w:t xml:space="preserve"> a</w:t>
      </w:r>
      <w:r w:rsidR="00FF20AF">
        <w:t xml:space="preserve">greements with the Free Calling Companies </w:t>
      </w:r>
      <w:r w:rsidR="008A7019">
        <w:t>bolsters our conclusion that</w:t>
      </w:r>
      <w:r w:rsidR="00FF20AF" w:rsidRPr="00E67D49">
        <w:t xml:space="preserve"> Sancom was </w:t>
      </w:r>
      <w:r w:rsidR="008A7019">
        <w:t xml:space="preserve">not </w:t>
      </w:r>
      <w:r w:rsidR="00FF20AF" w:rsidRPr="00E67D49">
        <w:t xml:space="preserve">acting as a common carrier </w:t>
      </w:r>
      <w:r w:rsidR="00FF20AF">
        <w:t>i</w:t>
      </w:r>
      <w:r w:rsidR="00FF20AF" w:rsidRPr="00E67D49">
        <w:t>ndiscriminately serving End Users as defined in the Tariff.</w:t>
      </w:r>
      <w:r w:rsidR="00B17338">
        <w:rPr>
          <w:rStyle w:val="FootnoteReference"/>
        </w:rPr>
        <w:footnoteReference w:id="94"/>
      </w:r>
      <w:r w:rsidR="0057089E">
        <w:t xml:space="preserve">  As discussed above, </w:t>
      </w:r>
      <w:r w:rsidR="00EC55CF">
        <w:t xml:space="preserve">based on our </w:t>
      </w:r>
      <w:r w:rsidR="0057089E">
        <w:t>interpretation of Sancom’s filed Tariff</w:t>
      </w:r>
      <w:r w:rsidR="00EC55CF">
        <w:t>, and Sancom’s relationship with the Free Calling Companies, we find that Sancom’s interstate access charges are unlawful because Sancom was not providing service under the Tariff.</w:t>
      </w:r>
    </w:p>
    <w:p w:rsidR="00340DEE" w:rsidRPr="009C3954" w:rsidRDefault="00340DEE" w:rsidP="00E856EA">
      <w:pPr>
        <w:pStyle w:val="Heading2"/>
        <w:widowControl/>
        <w:jc w:val="left"/>
        <w:rPr>
          <w:szCs w:val="22"/>
        </w:rPr>
      </w:pPr>
      <w:r w:rsidRPr="009C3954">
        <w:rPr>
          <w:szCs w:val="22"/>
        </w:rPr>
        <w:t>Sancom’s Affirmative Defenses Lack Merit</w:t>
      </w:r>
    </w:p>
    <w:p w:rsidR="00340DEE" w:rsidRPr="009C3954" w:rsidRDefault="00B3672A" w:rsidP="00E856EA">
      <w:pPr>
        <w:pStyle w:val="ParaNum"/>
        <w:widowControl/>
        <w:tabs>
          <w:tab w:val="clear" w:pos="1260"/>
          <w:tab w:val="num" w:pos="1440"/>
        </w:tabs>
        <w:ind w:left="0"/>
        <w:jc w:val="left"/>
        <w:rPr>
          <w:szCs w:val="22"/>
        </w:rPr>
      </w:pPr>
      <w:r>
        <w:rPr>
          <w:szCs w:val="22"/>
        </w:rPr>
        <w:t>B</w:t>
      </w:r>
      <w:r w:rsidR="00340DEE" w:rsidRPr="009C3954">
        <w:rPr>
          <w:szCs w:val="22"/>
        </w:rPr>
        <w:t xml:space="preserve">ecause Qwest </w:t>
      </w:r>
      <w:r w:rsidR="00340DEE" w:rsidRPr="009C3954">
        <w:rPr>
          <w:snapToGrid/>
          <w:kern w:val="0"/>
          <w:szCs w:val="22"/>
        </w:rPr>
        <w:t>elected to bifurcate its claims for damages pursuant to section 1.722(d) of the Commission’s rules,</w:t>
      </w:r>
      <w:r w:rsidR="00340DEE" w:rsidRPr="009C3954">
        <w:rPr>
          <w:rStyle w:val="FootnoteReference"/>
          <w:snapToGrid/>
          <w:kern w:val="0"/>
          <w:sz w:val="22"/>
          <w:szCs w:val="22"/>
        </w:rPr>
        <w:footnoteReference w:id="95"/>
      </w:r>
      <w:r w:rsidR="00340DEE" w:rsidRPr="009C3954">
        <w:rPr>
          <w:rFonts w:cs="TimesNewRoman"/>
          <w:snapToGrid/>
          <w:color w:val="010101"/>
          <w:kern w:val="0"/>
          <w:szCs w:val="22"/>
        </w:rPr>
        <w:t xml:space="preserve"> </w:t>
      </w:r>
      <w:r>
        <w:rPr>
          <w:rFonts w:cs="TimesNewRoman"/>
          <w:snapToGrid/>
          <w:color w:val="010101"/>
          <w:kern w:val="0"/>
          <w:szCs w:val="22"/>
        </w:rPr>
        <w:t xml:space="preserve">we do not address </w:t>
      </w:r>
      <w:r w:rsidR="0003728C">
        <w:rPr>
          <w:rFonts w:cs="TimesNewRoman"/>
          <w:snapToGrid/>
          <w:color w:val="010101"/>
          <w:kern w:val="0"/>
          <w:szCs w:val="22"/>
        </w:rPr>
        <w:t xml:space="preserve">in this order </w:t>
      </w:r>
      <w:r w:rsidR="00340DEE" w:rsidRPr="009C3954">
        <w:rPr>
          <w:rFonts w:cs="TimesNewRoman"/>
          <w:snapToGrid/>
          <w:color w:val="010101"/>
          <w:kern w:val="0"/>
          <w:szCs w:val="22"/>
        </w:rPr>
        <w:t>Sancom’s defenses regarding the extent of</w:t>
      </w:r>
      <w:r w:rsidR="0003728C">
        <w:rPr>
          <w:rFonts w:cs="TimesNewRoman"/>
          <w:snapToGrid/>
          <w:color w:val="010101"/>
          <w:kern w:val="0"/>
          <w:szCs w:val="22"/>
        </w:rPr>
        <w:t xml:space="preserve"> any</w:t>
      </w:r>
      <w:r w:rsidR="00340DEE" w:rsidRPr="009C3954">
        <w:rPr>
          <w:rFonts w:cs="TimesNewRoman"/>
          <w:snapToGrid/>
          <w:color w:val="010101"/>
          <w:kern w:val="0"/>
          <w:szCs w:val="22"/>
        </w:rPr>
        <w:t xml:space="preserve"> damages</w:t>
      </w:r>
      <w:r w:rsidR="0003728C">
        <w:rPr>
          <w:rFonts w:cs="TimesNewRoman"/>
          <w:snapToGrid/>
          <w:color w:val="010101"/>
          <w:kern w:val="0"/>
          <w:szCs w:val="22"/>
        </w:rPr>
        <w:t xml:space="preserve"> Qwest allegedly incurred.</w:t>
      </w:r>
      <w:r w:rsidR="00340DEE" w:rsidRPr="009C3954">
        <w:rPr>
          <w:rFonts w:cs="TimesNewRoman"/>
          <w:snapToGrid/>
          <w:color w:val="010101"/>
          <w:kern w:val="0"/>
          <w:szCs w:val="22"/>
        </w:rPr>
        <w:t xml:space="preserve">  We reject Sancom’s unsupported claim that, as an affirmative defense, </w:t>
      </w:r>
      <w:smartTag w:uri="urn:schemas-microsoft-com:office:smarttags" w:element="place">
        <w:smartTag w:uri="urn:schemas-microsoft-com:office:smarttags" w:element="PlaceName">
          <w:r w:rsidR="00340DEE" w:rsidRPr="009C3954">
            <w:rPr>
              <w:rFonts w:cs="TimesNewRoman"/>
              <w:snapToGrid/>
              <w:color w:val="010101"/>
              <w:kern w:val="0"/>
              <w:szCs w:val="22"/>
            </w:rPr>
            <w:t>South Dakota</w:t>
          </w:r>
        </w:smartTag>
        <w:r w:rsidR="00340DEE" w:rsidRPr="009C3954">
          <w:rPr>
            <w:rFonts w:cs="TimesNewRoman"/>
            <w:snapToGrid/>
            <w:color w:val="010101"/>
            <w:kern w:val="0"/>
            <w:szCs w:val="22"/>
          </w:rPr>
          <w:t xml:space="preserve"> </w:t>
        </w:r>
        <w:smartTag w:uri="urn:schemas-microsoft-com:office:smarttags" w:element="PlaceType">
          <w:r w:rsidR="00340DEE" w:rsidRPr="009C3954">
            <w:rPr>
              <w:rFonts w:cs="TimesNewRoman"/>
              <w:snapToGrid/>
              <w:color w:val="010101"/>
              <w:kern w:val="0"/>
              <w:szCs w:val="22"/>
            </w:rPr>
            <w:t>State</w:t>
          </w:r>
        </w:smartTag>
      </w:smartTag>
      <w:r w:rsidR="00340DEE" w:rsidRPr="009C3954">
        <w:rPr>
          <w:rFonts w:cs="TimesNewRoman"/>
          <w:snapToGrid/>
          <w:color w:val="010101"/>
          <w:kern w:val="0"/>
          <w:szCs w:val="22"/>
        </w:rPr>
        <w:t xml:space="preserve"> law somehow divests the Commission of authority to consider the lawfulness of Sancom’s interstate access charges.  Sections 201, 203</w:t>
      </w:r>
      <w:r w:rsidR="00A572D9">
        <w:rPr>
          <w:rFonts w:cs="TimesNewRoman"/>
          <w:snapToGrid/>
          <w:color w:val="010101"/>
          <w:kern w:val="0"/>
          <w:szCs w:val="22"/>
        </w:rPr>
        <w:t>,</w:t>
      </w:r>
      <w:r w:rsidR="00340DEE" w:rsidRPr="009C3954">
        <w:rPr>
          <w:rFonts w:cs="TimesNewRoman"/>
          <w:snapToGrid/>
          <w:color w:val="010101"/>
          <w:kern w:val="0"/>
          <w:szCs w:val="22"/>
        </w:rPr>
        <w:t xml:space="preserve"> and 208 of the Act (and the rules promulgated thereunder) provide the Commission with the authority to interpret and enforce the Tariff Sancom filed with the Commission, and Sancom provides no support to conclude otherwise.</w:t>
      </w:r>
      <w:r w:rsidR="00761F58">
        <w:rPr>
          <w:rStyle w:val="FootnoteReference"/>
          <w:szCs w:val="22"/>
        </w:rPr>
        <w:footnoteReference w:id="96"/>
      </w:r>
    </w:p>
    <w:p w:rsidR="00340DEE" w:rsidRPr="009C3954" w:rsidRDefault="00340DEE" w:rsidP="00E856EA">
      <w:pPr>
        <w:pStyle w:val="ParaNum"/>
        <w:widowControl/>
        <w:tabs>
          <w:tab w:val="clear" w:pos="1260"/>
        </w:tabs>
        <w:ind w:left="0"/>
        <w:jc w:val="left"/>
        <w:rPr>
          <w:szCs w:val="22"/>
        </w:rPr>
      </w:pPr>
      <w:r w:rsidRPr="009C3954">
        <w:rPr>
          <w:szCs w:val="22"/>
        </w:rPr>
        <w:t>We also</w:t>
      </w:r>
      <w:r w:rsidR="0003728C">
        <w:rPr>
          <w:szCs w:val="22"/>
        </w:rPr>
        <w:t xml:space="preserve"> are</w:t>
      </w:r>
      <w:r w:rsidRPr="009C3954">
        <w:rPr>
          <w:szCs w:val="22"/>
        </w:rPr>
        <w:t xml:space="preserve"> unpersuaded by Sancom’s argument that Qwest has “unclean hands,” in that Qwest did not first pay Sancom amounts owing under the Tariff.</w:t>
      </w:r>
      <w:r w:rsidRPr="009C3954">
        <w:rPr>
          <w:rStyle w:val="FootnoteReference"/>
          <w:sz w:val="22"/>
          <w:szCs w:val="22"/>
        </w:rPr>
        <w:footnoteReference w:id="97"/>
      </w:r>
      <w:r w:rsidRPr="009C3954">
        <w:rPr>
          <w:szCs w:val="22"/>
        </w:rPr>
        <w:t xml:space="preserve">  Even if this defense were available in a section 208 formal complaint proceeding,</w:t>
      </w:r>
      <w:r w:rsidRPr="009C3954">
        <w:rPr>
          <w:rStyle w:val="FootnoteReference"/>
          <w:sz w:val="22"/>
          <w:szCs w:val="22"/>
        </w:rPr>
        <w:footnoteReference w:id="98"/>
      </w:r>
      <w:r w:rsidRPr="009C3954">
        <w:rPr>
          <w:szCs w:val="22"/>
        </w:rPr>
        <w:t xml:space="preserve"> it would fail in this case.  As discussed above, </w:t>
      </w:r>
      <w:r w:rsidR="008A7019">
        <w:rPr>
          <w:szCs w:val="22"/>
        </w:rPr>
        <w:t>Sancom unlawfully charged Qwest for tariffed switched access services.  Accordingly,</w:t>
      </w:r>
      <w:r w:rsidRPr="009C3954">
        <w:rPr>
          <w:szCs w:val="22"/>
        </w:rPr>
        <w:t xml:space="preserve"> Qwest </w:t>
      </w:r>
      <w:r w:rsidR="008A7019">
        <w:rPr>
          <w:szCs w:val="22"/>
        </w:rPr>
        <w:t>cannot have</w:t>
      </w:r>
      <w:r w:rsidRPr="009C3954">
        <w:rPr>
          <w:szCs w:val="22"/>
        </w:rPr>
        <w:t xml:space="preserve"> violated any </w:t>
      </w:r>
      <w:r w:rsidR="003A12E0">
        <w:rPr>
          <w:szCs w:val="22"/>
        </w:rPr>
        <w:t xml:space="preserve">alleged </w:t>
      </w:r>
      <w:r w:rsidRPr="009C3954">
        <w:rPr>
          <w:szCs w:val="22"/>
        </w:rPr>
        <w:t>equitable principle</w:t>
      </w:r>
      <w:r w:rsidR="0011478C" w:rsidRPr="009C3954">
        <w:rPr>
          <w:szCs w:val="22"/>
        </w:rPr>
        <w:t xml:space="preserve"> </w:t>
      </w:r>
      <w:r w:rsidR="008A7019">
        <w:rPr>
          <w:szCs w:val="22"/>
        </w:rPr>
        <w:t xml:space="preserve">by failing </w:t>
      </w:r>
      <w:r w:rsidR="0011478C" w:rsidRPr="009C3954">
        <w:rPr>
          <w:szCs w:val="22"/>
        </w:rPr>
        <w:t xml:space="preserve">to pay </w:t>
      </w:r>
      <w:r w:rsidR="008A7019">
        <w:rPr>
          <w:szCs w:val="22"/>
        </w:rPr>
        <w:t>the</w:t>
      </w:r>
      <w:r w:rsidR="0011478C" w:rsidRPr="009C3954">
        <w:rPr>
          <w:szCs w:val="22"/>
        </w:rPr>
        <w:t xml:space="preserve"> charge</w:t>
      </w:r>
      <w:r w:rsidR="008A7019">
        <w:rPr>
          <w:szCs w:val="22"/>
        </w:rPr>
        <w:t>s</w:t>
      </w:r>
      <w:r w:rsidR="003A12E0">
        <w:rPr>
          <w:szCs w:val="22"/>
        </w:rPr>
        <w:t xml:space="preserve"> before disputing </w:t>
      </w:r>
      <w:r w:rsidR="008A7019">
        <w:rPr>
          <w:szCs w:val="22"/>
        </w:rPr>
        <w:t>them</w:t>
      </w:r>
      <w:r w:rsidR="008A7019" w:rsidRPr="009C3954">
        <w:rPr>
          <w:szCs w:val="22"/>
        </w:rPr>
        <w:t>.</w:t>
      </w:r>
      <w:r w:rsidR="008A7019" w:rsidRPr="009C3954">
        <w:rPr>
          <w:rStyle w:val="FootnoteReference"/>
          <w:sz w:val="22"/>
          <w:szCs w:val="22"/>
        </w:rPr>
        <w:footnoteReference w:id="99"/>
      </w:r>
    </w:p>
    <w:p w:rsidR="00340DEE" w:rsidRPr="009C3954" w:rsidRDefault="00340DEE" w:rsidP="00E856EA">
      <w:pPr>
        <w:pStyle w:val="ParaNum"/>
        <w:widowControl/>
        <w:tabs>
          <w:tab w:val="clear" w:pos="1260"/>
          <w:tab w:val="num" w:pos="1440"/>
        </w:tabs>
        <w:ind w:left="0"/>
        <w:jc w:val="left"/>
        <w:rPr>
          <w:szCs w:val="22"/>
        </w:rPr>
      </w:pPr>
      <w:r w:rsidRPr="009C3954">
        <w:rPr>
          <w:szCs w:val="22"/>
        </w:rPr>
        <w:t xml:space="preserve">For the foregoing reasons, we find that </w:t>
      </w:r>
      <w:r w:rsidR="0003728C">
        <w:rPr>
          <w:szCs w:val="22"/>
        </w:rPr>
        <w:t>the Free Calling Companies were not “end users” under the Tariff and, therefore, that Sancom was not entitled to charge Qwest for sw</w:t>
      </w:r>
      <w:r w:rsidR="002D6C99">
        <w:rPr>
          <w:szCs w:val="22"/>
        </w:rPr>
        <w:t>itched access under the Tariff.  By charging Qwest nonetheless, Sancom violated</w:t>
      </w:r>
      <w:r w:rsidR="0003728C">
        <w:rPr>
          <w:szCs w:val="22"/>
        </w:rPr>
        <w:t xml:space="preserve"> section</w:t>
      </w:r>
      <w:r w:rsidR="002D6C99">
        <w:rPr>
          <w:szCs w:val="22"/>
        </w:rPr>
        <w:t>s</w:t>
      </w:r>
      <w:r w:rsidR="0003728C">
        <w:rPr>
          <w:szCs w:val="22"/>
        </w:rPr>
        <w:t xml:space="preserve"> 201(b) and 203(c) of the Act</w:t>
      </w:r>
      <w:r w:rsidR="002D6C99">
        <w:rPr>
          <w:szCs w:val="22"/>
        </w:rPr>
        <w:t>.</w:t>
      </w:r>
      <w:r w:rsidR="00761F58">
        <w:rPr>
          <w:rStyle w:val="FootnoteReference"/>
          <w:szCs w:val="22"/>
        </w:rPr>
        <w:footnoteReference w:id="100"/>
      </w:r>
    </w:p>
    <w:p w:rsidR="00340DEE" w:rsidRPr="009C3954" w:rsidRDefault="00340DEE" w:rsidP="00E856EA">
      <w:pPr>
        <w:pStyle w:val="Heading1"/>
        <w:widowControl/>
        <w:jc w:val="left"/>
        <w:rPr>
          <w:spacing w:val="-3"/>
          <w:szCs w:val="22"/>
        </w:rPr>
      </w:pPr>
      <w:r w:rsidRPr="009C3954">
        <w:rPr>
          <w:szCs w:val="22"/>
        </w:rPr>
        <w:t>ORDERING CLAUSEs</w:t>
      </w:r>
    </w:p>
    <w:p w:rsidR="00340DEE" w:rsidRPr="009C3954" w:rsidRDefault="00340DEE" w:rsidP="00E856EA">
      <w:pPr>
        <w:pStyle w:val="ParaNum"/>
        <w:widowControl/>
        <w:tabs>
          <w:tab w:val="clear" w:pos="1260"/>
          <w:tab w:val="num" w:pos="1440"/>
        </w:tabs>
        <w:ind w:left="0"/>
        <w:jc w:val="left"/>
        <w:rPr>
          <w:szCs w:val="22"/>
        </w:rPr>
      </w:pPr>
      <w:r w:rsidRPr="009C3954">
        <w:rPr>
          <w:szCs w:val="22"/>
        </w:rPr>
        <w:t xml:space="preserve">Accordingly, </w:t>
      </w:r>
      <w:r w:rsidRPr="001C7BAF">
        <w:rPr>
          <w:b/>
          <w:snapToGrid/>
          <w:kern w:val="0"/>
          <w:szCs w:val="22"/>
        </w:rPr>
        <w:t>IT IS ORDERED</w:t>
      </w:r>
      <w:r w:rsidRPr="009C3954">
        <w:rPr>
          <w:snapToGrid/>
          <w:kern w:val="0"/>
          <w:szCs w:val="22"/>
        </w:rPr>
        <w:t xml:space="preserve">, pursuant to sections 4(i), 4(j), 201, 203, and 208 of the Communications Act of 1934, as amended, 47 U.S.C. §§ 154(i), 154(j), 201, 203, and 208, and sections  1.720-1.736 </w:t>
      </w:r>
      <w:r w:rsidR="008A7019">
        <w:rPr>
          <w:snapToGrid/>
          <w:kern w:val="0"/>
          <w:szCs w:val="22"/>
        </w:rPr>
        <w:t xml:space="preserve">of </w:t>
      </w:r>
      <w:r w:rsidRPr="009C3954">
        <w:rPr>
          <w:snapToGrid/>
          <w:kern w:val="0"/>
          <w:szCs w:val="22"/>
        </w:rPr>
        <w:t xml:space="preserve">the Commission’s rules, 47 C.F.R. §§ 1.720-1.736, </w:t>
      </w:r>
      <w:r w:rsidR="00432D5D" w:rsidRPr="009C3954">
        <w:rPr>
          <w:szCs w:val="22"/>
        </w:rPr>
        <w:t xml:space="preserve">and the authority delegated by sections 0.111 and 0.311 of the Commission’s rules, 47 C.F.R. §§ 0.111, 0.311, </w:t>
      </w:r>
      <w:r w:rsidRPr="009C3954">
        <w:rPr>
          <w:snapToGrid/>
          <w:kern w:val="0"/>
          <w:szCs w:val="22"/>
        </w:rPr>
        <w:t xml:space="preserve">that Counts I and II of the Complaint are hereby </w:t>
      </w:r>
      <w:r w:rsidRPr="00AC1D04">
        <w:rPr>
          <w:b/>
          <w:snapToGrid/>
          <w:kern w:val="0"/>
          <w:szCs w:val="22"/>
        </w:rPr>
        <w:t>GRANTED</w:t>
      </w:r>
      <w:r w:rsidRPr="009C3954">
        <w:rPr>
          <w:snapToGrid/>
          <w:kern w:val="0"/>
          <w:szCs w:val="22"/>
        </w:rPr>
        <w:t xml:space="preserve"> as to liability.</w:t>
      </w:r>
    </w:p>
    <w:p w:rsidR="00340DEE" w:rsidRPr="003D5088" w:rsidRDefault="00340DEE" w:rsidP="001C7BAF">
      <w:pPr>
        <w:pStyle w:val="ParaNum"/>
        <w:widowControl/>
        <w:numPr>
          <w:ilvl w:val="0"/>
          <w:numId w:val="0"/>
        </w:numPr>
        <w:spacing w:after="0"/>
        <w:ind w:left="2880" w:firstLine="720"/>
        <w:jc w:val="left"/>
        <w:rPr>
          <w:spacing w:val="-3"/>
          <w:szCs w:val="22"/>
        </w:rPr>
      </w:pPr>
      <w:r w:rsidRPr="003D5088">
        <w:rPr>
          <w:spacing w:val="-3"/>
          <w:szCs w:val="22"/>
        </w:rPr>
        <w:t>FEDERAL COMMUNICATIONS COMMISSION</w:t>
      </w:r>
    </w:p>
    <w:p w:rsidR="00340DEE" w:rsidRPr="003D5088" w:rsidRDefault="00340DEE" w:rsidP="001C7BAF">
      <w:pPr>
        <w:keepNext/>
        <w:keepLines/>
        <w:widowControl/>
        <w:tabs>
          <w:tab w:val="left" w:pos="-720"/>
        </w:tabs>
        <w:suppressAutoHyphens/>
        <w:ind w:firstLine="810"/>
        <w:jc w:val="left"/>
        <w:rPr>
          <w:spacing w:val="-3"/>
          <w:szCs w:val="22"/>
        </w:rPr>
      </w:pPr>
    </w:p>
    <w:p w:rsidR="00340DEE" w:rsidRPr="003D5088" w:rsidRDefault="00340DEE" w:rsidP="001C7BAF">
      <w:pPr>
        <w:keepNext/>
        <w:keepLines/>
        <w:widowControl/>
        <w:tabs>
          <w:tab w:val="left" w:pos="-720"/>
        </w:tabs>
        <w:suppressAutoHyphens/>
        <w:ind w:firstLine="810"/>
        <w:jc w:val="left"/>
        <w:rPr>
          <w:spacing w:val="-3"/>
          <w:szCs w:val="22"/>
        </w:rPr>
      </w:pPr>
    </w:p>
    <w:p w:rsidR="00340DEE" w:rsidRPr="003D5088" w:rsidRDefault="00340DEE" w:rsidP="001C7BAF">
      <w:pPr>
        <w:keepNext/>
        <w:keepLines/>
        <w:widowControl/>
        <w:tabs>
          <w:tab w:val="left" w:pos="-720"/>
        </w:tabs>
        <w:suppressAutoHyphens/>
        <w:jc w:val="left"/>
        <w:outlineLvl w:val="0"/>
        <w:rPr>
          <w:szCs w:val="22"/>
        </w:rPr>
      </w:pPr>
    </w:p>
    <w:p w:rsidR="001A51EB" w:rsidRDefault="00340DEE" w:rsidP="001C7BAF">
      <w:pPr>
        <w:widowControl/>
        <w:tabs>
          <w:tab w:val="left" w:pos="-720"/>
        </w:tabs>
        <w:suppressAutoHyphens/>
        <w:jc w:val="left"/>
        <w:rPr>
          <w:snapToGrid/>
          <w:color w:val="010101"/>
          <w:kern w:val="0"/>
          <w:szCs w:val="22"/>
        </w:rPr>
      </w:pPr>
      <w:r w:rsidRPr="003D5088">
        <w:rPr>
          <w:szCs w:val="22"/>
        </w:rPr>
        <w:t xml:space="preserve">      </w:t>
      </w:r>
      <w:r w:rsidRPr="003D5088">
        <w:rPr>
          <w:szCs w:val="22"/>
        </w:rPr>
        <w:tab/>
      </w:r>
      <w:r w:rsidRPr="003D5088">
        <w:rPr>
          <w:szCs w:val="22"/>
        </w:rPr>
        <w:tab/>
      </w:r>
      <w:r w:rsidR="003D5088" w:rsidRPr="003D5088">
        <w:rPr>
          <w:szCs w:val="22"/>
        </w:rPr>
        <w:tab/>
      </w:r>
      <w:r w:rsidR="003D5088" w:rsidRPr="003D5088">
        <w:rPr>
          <w:szCs w:val="22"/>
        </w:rPr>
        <w:tab/>
      </w:r>
      <w:r w:rsidR="003D5088" w:rsidRPr="003D5088">
        <w:rPr>
          <w:szCs w:val="22"/>
        </w:rPr>
        <w:tab/>
      </w:r>
      <w:r w:rsidR="001F5115">
        <w:rPr>
          <w:szCs w:val="22"/>
        </w:rPr>
        <w:t>P. Michele Ellison</w:t>
      </w:r>
    </w:p>
    <w:p w:rsidR="001A51EB" w:rsidRDefault="001A51EB" w:rsidP="001C7BAF">
      <w:pPr>
        <w:widowControl/>
        <w:tabs>
          <w:tab w:val="left" w:pos="-720"/>
        </w:tabs>
        <w:suppressAutoHyphens/>
        <w:jc w:val="left"/>
        <w:rPr>
          <w:snapToGrid/>
          <w:color w:val="010101"/>
          <w:kern w:val="0"/>
          <w:szCs w:val="22"/>
        </w:rPr>
      </w:pPr>
      <w:r>
        <w:rPr>
          <w:snapToGrid/>
          <w:color w:val="010101"/>
          <w:kern w:val="0"/>
          <w:szCs w:val="22"/>
        </w:rPr>
        <w:tab/>
      </w:r>
      <w:r>
        <w:rPr>
          <w:snapToGrid/>
          <w:color w:val="010101"/>
          <w:kern w:val="0"/>
          <w:szCs w:val="22"/>
        </w:rPr>
        <w:tab/>
      </w:r>
      <w:r>
        <w:rPr>
          <w:snapToGrid/>
          <w:color w:val="010101"/>
          <w:kern w:val="0"/>
          <w:szCs w:val="22"/>
        </w:rPr>
        <w:tab/>
      </w:r>
      <w:r>
        <w:rPr>
          <w:snapToGrid/>
          <w:color w:val="010101"/>
          <w:kern w:val="0"/>
          <w:szCs w:val="22"/>
        </w:rPr>
        <w:tab/>
      </w:r>
      <w:r>
        <w:rPr>
          <w:snapToGrid/>
          <w:color w:val="010101"/>
          <w:kern w:val="0"/>
          <w:szCs w:val="22"/>
        </w:rPr>
        <w:tab/>
      </w:r>
      <w:r w:rsidRPr="001A51EB">
        <w:rPr>
          <w:snapToGrid/>
          <w:color w:val="010101"/>
          <w:kern w:val="0"/>
          <w:szCs w:val="22"/>
        </w:rPr>
        <w:t>Chief</w:t>
      </w:r>
      <w:r w:rsidR="005C7948">
        <w:rPr>
          <w:snapToGrid/>
          <w:color w:val="010101"/>
          <w:kern w:val="0"/>
          <w:szCs w:val="22"/>
        </w:rPr>
        <w:t xml:space="preserve">, </w:t>
      </w:r>
      <w:r w:rsidR="005C7948" w:rsidRPr="001A51EB">
        <w:rPr>
          <w:snapToGrid/>
          <w:color w:val="010101"/>
          <w:kern w:val="0"/>
          <w:szCs w:val="22"/>
        </w:rPr>
        <w:t>Enforcement Bureau</w:t>
      </w:r>
    </w:p>
    <w:p w:rsidR="001A51EB" w:rsidRPr="001A51EB" w:rsidRDefault="001A51EB" w:rsidP="001C7BAF">
      <w:pPr>
        <w:widowControl/>
        <w:tabs>
          <w:tab w:val="left" w:pos="-720"/>
        </w:tabs>
        <w:suppressAutoHyphens/>
        <w:jc w:val="left"/>
        <w:rPr>
          <w:snapToGrid/>
          <w:color w:val="010101"/>
          <w:kern w:val="0"/>
          <w:szCs w:val="22"/>
        </w:rPr>
      </w:pPr>
      <w:r>
        <w:rPr>
          <w:snapToGrid/>
          <w:color w:val="010101"/>
          <w:kern w:val="0"/>
          <w:szCs w:val="22"/>
        </w:rPr>
        <w:tab/>
      </w:r>
      <w:r>
        <w:rPr>
          <w:snapToGrid/>
          <w:color w:val="010101"/>
          <w:kern w:val="0"/>
          <w:szCs w:val="22"/>
        </w:rPr>
        <w:tab/>
      </w:r>
      <w:r>
        <w:rPr>
          <w:snapToGrid/>
          <w:color w:val="010101"/>
          <w:kern w:val="0"/>
          <w:szCs w:val="22"/>
        </w:rPr>
        <w:tab/>
      </w:r>
      <w:r>
        <w:rPr>
          <w:snapToGrid/>
          <w:color w:val="010101"/>
          <w:kern w:val="0"/>
          <w:szCs w:val="22"/>
        </w:rPr>
        <w:tab/>
      </w:r>
      <w:r>
        <w:rPr>
          <w:snapToGrid/>
          <w:color w:val="010101"/>
          <w:kern w:val="0"/>
          <w:szCs w:val="22"/>
        </w:rPr>
        <w:tab/>
      </w:r>
    </w:p>
    <w:sectPr w:rsidR="001A51EB" w:rsidRPr="001A51EB" w:rsidSect="001C7BA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9D" w:rsidRDefault="005D729D">
      <w:r>
        <w:separator/>
      </w:r>
    </w:p>
  </w:endnote>
  <w:endnote w:type="continuationSeparator" w:id="0">
    <w:p w:rsidR="005D729D" w:rsidRDefault="005D729D">
      <w:r>
        <w:continuationSeparator/>
      </w:r>
    </w:p>
  </w:endnote>
  <w:endnote w:type="continuationNotice" w:id="1">
    <w:p w:rsidR="005D729D" w:rsidRDefault="005D7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EE" w:rsidRDefault="00BA4AEE">
    <w:pPr>
      <w:pStyle w:val="Footer"/>
      <w:framePr w:wrap="around" w:vAnchor="text" w:hAnchor="margin" w:xAlign="center" w:y="1"/>
    </w:pPr>
    <w:r>
      <w:fldChar w:fldCharType="begin"/>
    </w:r>
    <w:r>
      <w:instrText xml:space="preserve">PAGE  </w:instrText>
    </w:r>
    <w:r>
      <w:fldChar w:fldCharType="end"/>
    </w:r>
  </w:p>
  <w:p w:rsidR="00BA4AEE" w:rsidRDefault="00BA4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EE" w:rsidRDefault="00BA4AEE">
    <w:pPr>
      <w:pStyle w:val="Footer"/>
      <w:framePr w:wrap="around" w:vAnchor="text" w:hAnchor="margin" w:xAlign="center" w:y="1"/>
    </w:pPr>
    <w:r>
      <w:fldChar w:fldCharType="begin"/>
    </w:r>
    <w:r>
      <w:instrText xml:space="preserve">PAGE  </w:instrText>
    </w:r>
    <w:r>
      <w:fldChar w:fldCharType="separate"/>
    </w:r>
    <w:r w:rsidR="00F47A1D">
      <w:rPr>
        <w:noProof/>
      </w:rPr>
      <w:t>2</w:t>
    </w:r>
    <w:r>
      <w:fldChar w:fldCharType="end"/>
    </w:r>
  </w:p>
  <w:p w:rsidR="00BA4AEE" w:rsidRDefault="00BA4AEE">
    <w:pPr>
      <w:spacing w:before="140" w:line="100" w:lineRule="exact"/>
      <w:rPr>
        <w:b/>
      </w:rPr>
    </w:pPr>
  </w:p>
  <w:p w:rsidR="00BA4AEE" w:rsidRDefault="00BA4AEE">
    <w:pPr>
      <w:suppressAutoHyphens/>
      <w:spacing w:line="227" w:lineRule="auto"/>
    </w:pPr>
  </w:p>
  <w:p w:rsidR="00BA4AEE" w:rsidRDefault="00BA4A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1D" w:rsidRDefault="00F47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9D" w:rsidRDefault="005D729D">
      <w:r>
        <w:separator/>
      </w:r>
    </w:p>
  </w:footnote>
  <w:footnote w:type="continuationSeparator" w:id="0">
    <w:p w:rsidR="005D729D" w:rsidRDefault="005D729D"/>
    <w:p w:rsidR="005D729D" w:rsidRPr="004F0C88" w:rsidRDefault="005D729D">
      <w:r>
        <w:t>(Continued from previous page)</w:t>
      </w:r>
      <w:r w:rsidRPr="00953BF0">
        <w:t xml:space="preserve"> </w:t>
      </w:r>
      <w:r>
        <w:separator/>
      </w:r>
    </w:p>
  </w:footnote>
  <w:footnote w:type="continuationNotice" w:id="1">
    <w:p w:rsidR="005D729D" w:rsidRDefault="005D729D"/>
  </w:footnote>
  <w:footnote w:id="2">
    <w:p w:rsidR="00BA4AEE" w:rsidRPr="00E856EA" w:rsidRDefault="00BA4AEE" w:rsidP="00E856EA">
      <w:pPr>
        <w:pStyle w:val="FootnoteText"/>
        <w:spacing w:before="60" w:after="60"/>
        <w:ind w:right="0"/>
      </w:pPr>
      <w:r w:rsidRPr="00E856EA">
        <w:rPr>
          <w:rStyle w:val="FootnoteReference"/>
        </w:rPr>
        <w:footnoteRef/>
      </w:r>
      <w:r w:rsidRPr="00E856EA">
        <w:t xml:space="preserve"> </w:t>
      </w:r>
      <w:r w:rsidRPr="00660D0B">
        <w:t>Formal Complaint of Qwest Communications Comp</w:t>
      </w:r>
      <w:r>
        <w:t>any, LLC, File No. EB-10-MD-004</w:t>
      </w:r>
      <w:r w:rsidRPr="00660D0B">
        <w:t xml:space="preserve"> </w:t>
      </w:r>
      <w:r>
        <w:t xml:space="preserve">(originally filed </w:t>
      </w:r>
      <w:r w:rsidRPr="00660D0B">
        <w:t>Jan. 18, 2011</w:t>
      </w:r>
      <w:r>
        <w:t xml:space="preserve">; re-filed June 15, 2012) </w:t>
      </w:r>
      <w:r w:rsidRPr="00660D0B">
        <w:t>(Complaint).</w:t>
      </w:r>
      <w:r>
        <w:t xml:space="preserve">  </w:t>
      </w:r>
      <w:r>
        <w:rPr>
          <w:color w:val="000000"/>
        </w:rPr>
        <w:t>At the request of Commission staff, made during a June 1, 2012 conference call, the parties re-filed their pleadings with revised confidentiality designations on June 15, 2012.</w:t>
      </w:r>
    </w:p>
  </w:footnote>
  <w:footnote w:id="3">
    <w:p w:rsidR="00BA4AEE" w:rsidRPr="00E856EA" w:rsidRDefault="00BA4AEE" w:rsidP="00E856EA">
      <w:pPr>
        <w:pStyle w:val="FootnoteText"/>
        <w:spacing w:before="60" w:after="60"/>
        <w:ind w:right="0"/>
      </w:pPr>
      <w:r w:rsidRPr="00E856EA">
        <w:rPr>
          <w:rStyle w:val="FootnoteReference"/>
        </w:rPr>
        <w:footnoteRef/>
      </w:r>
      <w:r w:rsidRPr="00E856EA">
        <w:t xml:space="preserve"> 47 U.S.C. § 208.</w:t>
      </w:r>
    </w:p>
  </w:footnote>
  <w:footnote w:id="4">
    <w:p w:rsidR="00BA4AEE" w:rsidRPr="00E856EA" w:rsidRDefault="00BA4AEE" w:rsidP="00E856EA">
      <w:pPr>
        <w:pStyle w:val="ParaNum"/>
        <w:widowControl/>
        <w:numPr>
          <w:ilvl w:val="0"/>
          <w:numId w:val="0"/>
        </w:numPr>
        <w:spacing w:before="60" w:after="60"/>
        <w:jc w:val="left"/>
        <w:rPr>
          <w:sz w:val="20"/>
        </w:rPr>
      </w:pPr>
      <w:r w:rsidRPr="00E856EA">
        <w:rPr>
          <w:rStyle w:val="FootnoteReference"/>
        </w:rPr>
        <w:footnoteRef/>
      </w:r>
      <w:r w:rsidRPr="00E856EA">
        <w:rPr>
          <w:sz w:val="20"/>
        </w:rPr>
        <w:t xml:space="preserve"> </w:t>
      </w:r>
      <w:r w:rsidRPr="00E856EA">
        <w:rPr>
          <w:i/>
          <w:sz w:val="20"/>
        </w:rPr>
        <w:t>Sancom, Inc. v. Qwest Communications Corp</w:t>
      </w:r>
      <w:r w:rsidRPr="00E856EA">
        <w:rPr>
          <w:sz w:val="20"/>
        </w:rPr>
        <w:t>., No. Civ. 07-4147-KES, 2010 WL 960005 (D.S.D. Mar. 12, 2010) (</w:t>
      </w:r>
      <w:r w:rsidRPr="00E856EA">
        <w:rPr>
          <w:i/>
          <w:sz w:val="20"/>
        </w:rPr>
        <w:t>Sancom v. Qwest Referral Order</w:t>
      </w:r>
      <w:r w:rsidRPr="00E856EA">
        <w:rPr>
          <w:sz w:val="20"/>
        </w:rPr>
        <w:t xml:space="preserve">).  </w:t>
      </w:r>
      <w:r w:rsidRPr="00E856EA">
        <w:rPr>
          <w:i/>
          <w:sz w:val="20"/>
        </w:rPr>
        <w:t xml:space="preserve">See </w:t>
      </w:r>
      <w:r w:rsidR="00030024">
        <w:rPr>
          <w:i/>
          <w:sz w:val="20"/>
        </w:rPr>
        <w:t xml:space="preserve">infra </w:t>
      </w:r>
      <w:r w:rsidRPr="00E856EA">
        <w:rPr>
          <w:sz w:val="20"/>
        </w:rPr>
        <w:t>discussion in paragraph 10.</w:t>
      </w:r>
    </w:p>
  </w:footnote>
  <w:footnote w:id="5">
    <w:p w:rsidR="00BA4AEE" w:rsidRPr="00E856EA" w:rsidRDefault="00BA4AEE" w:rsidP="00E856EA">
      <w:pPr>
        <w:pStyle w:val="FootnoteText"/>
        <w:spacing w:before="60" w:after="60"/>
      </w:pPr>
      <w:r w:rsidRPr="00E856EA">
        <w:rPr>
          <w:rStyle w:val="FootnoteReference"/>
        </w:rPr>
        <w:footnoteRef/>
      </w:r>
      <w:r w:rsidRPr="00E856EA">
        <w:t xml:space="preserve"> </w:t>
      </w:r>
      <w:bookmarkStart w:id="4" w:name="OLE_LINK17"/>
      <w:bookmarkStart w:id="5" w:name="OLE_LINK18"/>
      <w:r w:rsidRPr="00E856EA">
        <w:t>47 U.S.C. §§ 203(c)</w:t>
      </w:r>
      <w:bookmarkEnd w:id="4"/>
      <w:bookmarkEnd w:id="5"/>
      <w:r w:rsidRPr="00E856EA">
        <w:t>, 201(b).  Count I of the Complaint alleges violation of section 203(c), and Count II alleges violation of section 201(b).  Complaint at 53-54.</w:t>
      </w:r>
    </w:p>
  </w:footnote>
  <w:footnote w:id="6">
    <w:p w:rsidR="00BA4AEE" w:rsidRPr="00E856EA" w:rsidRDefault="00BA4AEE" w:rsidP="00E856EA">
      <w:pPr>
        <w:pStyle w:val="FootnoteText"/>
      </w:pPr>
      <w:r w:rsidRPr="00E856EA">
        <w:rPr>
          <w:rStyle w:val="FootnoteReference"/>
        </w:rPr>
        <w:footnoteRef/>
      </w:r>
      <w:r w:rsidRPr="00E856EA">
        <w:t xml:space="preserve"> </w:t>
      </w:r>
      <w:r w:rsidRPr="00660D0B">
        <w:t xml:space="preserve">Complaint, Litigation Exhibit 6, Sancom Interstate Access Tariff.  </w:t>
      </w:r>
      <w:r w:rsidRPr="00660D0B">
        <w:rPr>
          <w:i/>
        </w:rPr>
        <w:t>See also</w:t>
      </w:r>
      <w:r w:rsidRPr="00660D0B">
        <w:t xml:space="preserve"> Answer of Sancom, Inc. to Formal Complaint of Qwest Communications Company, LLC, File No. EB-10-MD-004 </w:t>
      </w:r>
      <w:r>
        <w:t>(originally filed Feb. 22</w:t>
      </w:r>
      <w:r w:rsidRPr="00660D0B">
        <w:t>, 2011</w:t>
      </w:r>
      <w:r>
        <w:t xml:space="preserve">; re-filed June 15, 2012) </w:t>
      </w:r>
      <w:r w:rsidRPr="00660D0B">
        <w:t>(Answer) at Exhibit 1.</w:t>
      </w:r>
    </w:p>
  </w:footnote>
  <w:footnote w:id="7">
    <w:p w:rsidR="00BA4AEE" w:rsidRPr="00E856EA" w:rsidRDefault="00BA4AEE" w:rsidP="00E856EA">
      <w:pPr>
        <w:spacing w:before="60" w:after="60"/>
        <w:jc w:val="left"/>
        <w:rPr>
          <w:sz w:val="20"/>
        </w:rPr>
      </w:pPr>
      <w:r w:rsidRPr="00E856EA">
        <w:rPr>
          <w:rStyle w:val="FootnoteReference"/>
        </w:rPr>
        <w:footnoteRef/>
      </w:r>
      <w:r w:rsidRPr="00E856EA">
        <w:rPr>
          <w:sz w:val="20"/>
        </w:rPr>
        <w:t xml:space="preserve"> </w:t>
      </w:r>
      <w:r w:rsidRPr="00660D0B">
        <w:rPr>
          <w:sz w:val="20"/>
        </w:rPr>
        <w:t xml:space="preserve">Joint Statement, File </w:t>
      </w:r>
      <w:r w:rsidRPr="00821561">
        <w:rPr>
          <w:sz w:val="20"/>
        </w:rPr>
        <w:t>No. EB</w:t>
      </w:r>
      <w:r>
        <w:rPr>
          <w:sz w:val="20"/>
        </w:rPr>
        <w:t xml:space="preserve">-10-MD-004 (originally filed Mar. 22, 2011; re-filed </w:t>
      </w:r>
      <w:r w:rsidRPr="00821561">
        <w:rPr>
          <w:sz w:val="20"/>
        </w:rPr>
        <w:t>June 15, 2012</w:t>
      </w:r>
      <w:r>
        <w:rPr>
          <w:sz w:val="20"/>
        </w:rPr>
        <w:t>)</w:t>
      </w:r>
      <w:r w:rsidRPr="00821561">
        <w:rPr>
          <w:sz w:val="20"/>
        </w:rPr>
        <w:t xml:space="preserve"> (Joint Statement), Stipulated Facts at 1, para. 2.  On April 1, 2011, CenturyLink, Inc. acquired 100 percent of the stock of Qwest’s corporate parent, Qwest Communications International Inc.; Qwest is</w:t>
      </w:r>
      <w:r w:rsidRPr="00660D0B">
        <w:rPr>
          <w:sz w:val="20"/>
        </w:rPr>
        <w:t xml:space="preserve"> now doing business as CenturyLink.  </w:t>
      </w:r>
      <w:r w:rsidRPr="00660D0B">
        <w:rPr>
          <w:i/>
          <w:sz w:val="20"/>
        </w:rPr>
        <w:t>See</w:t>
      </w:r>
      <w:r w:rsidRPr="00660D0B">
        <w:rPr>
          <w:sz w:val="20"/>
        </w:rPr>
        <w:t xml:space="preserve"> Letter from David H. Solomon, counsel for Qwest, to Marlene H. Dortch, Secretary, FCC, File No. EB-10-MD-004 (dated Apr. 28, 2011).</w:t>
      </w:r>
    </w:p>
  </w:footnote>
  <w:footnote w:id="8">
    <w:p w:rsidR="00BA4AEE" w:rsidRPr="00E856EA" w:rsidRDefault="00BA4AEE" w:rsidP="00E856EA">
      <w:pPr>
        <w:pStyle w:val="FootnoteText"/>
        <w:spacing w:before="60" w:after="60"/>
      </w:pPr>
      <w:r w:rsidRPr="00E856EA">
        <w:rPr>
          <w:rStyle w:val="FootnoteReference"/>
        </w:rPr>
        <w:footnoteRef/>
      </w:r>
      <w:r w:rsidRPr="00E856EA">
        <w:t xml:space="preserve"> Joint Statement, Stipulated Facts at 1-2, para. 2.</w:t>
      </w:r>
    </w:p>
  </w:footnote>
  <w:footnote w:id="9">
    <w:p w:rsidR="00BA4AEE" w:rsidRPr="00E856EA" w:rsidRDefault="00BA4AEE" w:rsidP="00E856EA">
      <w:pPr>
        <w:pStyle w:val="FootnoteText"/>
        <w:spacing w:before="60" w:after="60"/>
      </w:pPr>
      <w:r w:rsidRPr="00E856EA">
        <w:rPr>
          <w:rStyle w:val="FootnoteReference"/>
        </w:rPr>
        <w:footnoteRef/>
      </w:r>
      <w:r w:rsidRPr="00E856EA">
        <w:t xml:space="preserve"> Joint Statement, Stipulated Facts at 2, para. 3.</w:t>
      </w:r>
    </w:p>
  </w:footnote>
  <w:footnote w:id="10">
    <w:p w:rsidR="00BA4AEE" w:rsidRPr="00E856EA" w:rsidRDefault="00BA4AEE" w:rsidP="00E856EA">
      <w:pPr>
        <w:pStyle w:val="FootnoteText"/>
        <w:spacing w:before="60" w:after="60"/>
      </w:pPr>
      <w:r w:rsidRPr="00E856EA">
        <w:rPr>
          <w:rStyle w:val="FootnoteReference"/>
        </w:rPr>
        <w:footnoteRef/>
      </w:r>
      <w:r w:rsidRPr="00E856EA">
        <w:t xml:space="preserve"> </w:t>
      </w:r>
      <w:bookmarkStart w:id="9" w:name="OLE_LINK8"/>
      <w:bookmarkStart w:id="10" w:name="OLE_LINK7"/>
      <w:r w:rsidRPr="00E856EA">
        <w:t>Joint Statement, Stipulated Facts at 2, para. 3.</w:t>
      </w:r>
      <w:bookmarkEnd w:id="9"/>
      <w:bookmarkEnd w:id="10"/>
      <w:r w:rsidRPr="00E856EA">
        <w:t xml:space="preserve">  Sancom does business as “Mitchell Telecom.”  Joint Statement, Stipulated Facts at 2, para. 3.</w:t>
      </w:r>
    </w:p>
  </w:footnote>
  <w:footnote w:id="11">
    <w:p w:rsidR="00BA4AEE" w:rsidRPr="00E856EA" w:rsidRDefault="00BA4AEE" w:rsidP="00E856EA">
      <w:pPr>
        <w:pStyle w:val="FootnoteText"/>
        <w:spacing w:before="60" w:after="60"/>
        <w:rPr>
          <w:b/>
        </w:rPr>
      </w:pPr>
      <w:r w:rsidRPr="00E856EA">
        <w:rPr>
          <w:rStyle w:val="FootnoteReference"/>
        </w:rPr>
        <w:footnoteRef/>
      </w:r>
      <w:r w:rsidRPr="00E856EA">
        <w:t xml:space="preserve"> Answer, Legal Analysis at 1, 6, 23, 24; Complaint, Litigation Exhibit 18 (Calabro Dep.) at 3 (stating “Sancom provides IXCs with the use of switching, transport, and other carrier common lines, as well as access to databases, as required to complete long distance calls”).</w:t>
      </w:r>
    </w:p>
  </w:footnote>
  <w:footnote w:id="12">
    <w:p w:rsidR="00BA4AEE" w:rsidRPr="00E856EA" w:rsidRDefault="00BA4AEE" w:rsidP="00E856EA">
      <w:pPr>
        <w:pStyle w:val="FootnoteText"/>
        <w:spacing w:before="60" w:after="60"/>
      </w:pPr>
      <w:r w:rsidRPr="00E856EA">
        <w:rPr>
          <w:rStyle w:val="FootnoteReference"/>
        </w:rPr>
        <w:footnoteRef/>
      </w:r>
      <w:r w:rsidRPr="00E856EA">
        <w:t xml:space="preserve"> Joint Statement, Stipulated Facts at 2, para. 3.</w:t>
      </w:r>
    </w:p>
  </w:footnote>
  <w:footnote w:id="13">
    <w:p w:rsidR="00BA4AEE" w:rsidRPr="00E856EA" w:rsidRDefault="00BA4AEE" w:rsidP="00E856EA">
      <w:pPr>
        <w:spacing w:before="60" w:after="60"/>
        <w:jc w:val="left"/>
        <w:rPr>
          <w:sz w:val="20"/>
        </w:rPr>
      </w:pPr>
      <w:r w:rsidRPr="00E856EA">
        <w:rPr>
          <w:rStyle w:val="FootnoteReference"/>
        </w:rPr>
        <w:footnoteRef/>
      </w:r>
      <w:r w:rsidRPr="00E856EA">
        <w:rPr>
          <w:sz w:val="20"/>
        </w:rPr>
        <w:t xml:space="preserve"> </w:t>
      </w:r>
      <w:r w:rsidRPr="00E856EA">
        <w:rPr>
          <w:i/>
          <w:sz w:val="20"/>
        </w:rPr>
        <w:t xml:space="preserve">See </w:t>
      </w:r>
      <w:r w:rsidRPr="00E856EA">
        <w:rPr>
          <w:rStyle w:val="Emphasis"/>
          <w:sz w:val="20"/>
        </w:rPr>
        <w:t>Connect America Fund</w:t>
      </w:r>
      <w:r w:rsidRPr="00E856EA">
        <w:rPr>
          <w:sz w:val="20"/>
        </w:rPr>
        <w:t>, Report and Order and Further Notice of Proposed Rulemaking, 26 FCC Rcd 17663, 17874, para. 656 (2011) (“Access stimulation occurs when a LEC with high switched access rates enters into an arrangement with a provider of high call volume operations such as chat lines, adult entertainment calls, and ‘free’ conference calls.  The arrangement inflates or stimulates the access minutes terminated to the LEC, and the LEC then shares a portion of the increased access revenues resulting from the increased demand with the ‘free’ service provider, or offers some other benefit to the ‘free’ service provider.”).</w:t>
      </w:r>
    </w:p>
  </w:footnote>
  <w:footnote w:id="14">
    <w:p w:rsidR="00BA4AEE" w:rsidRPr="00660D0B" w:rsidRDefault="00BA4AEE" w:rsidP="00357371">
      <w:pPr>
        <w:pStyle w:val="FootnoteText"/>
        <w:spacing w:before="60" w:after="60"/>
      </w:pPr>
      <w:r w:rsidRPr="00660D0B">
        <w:rPr>
          <w:rStyle w:val="FootnoteReference"/>
        </w:rPr>
        <w:footnoteRef/>
      </w:r>
      <w:r w:rsidRPr="00660D0B">
        <w:t xml:space="preserve"> </w:t>
      </w:r>
      <w:bookmarkStart w:id="13" w:name="OLE_LINK10"/>
      <w:bookmarkStart w:id="14" w:name="OLE_LINK9"/>
      <w:r w:rsidRPr="00660D0B">
        <w:t>Joint Statement, Stipulated Facts at 2, para. 4</w:t>
      </w:r>
      <w:r>
        <w:t>; Complaint at 2</w:t>
      </w:r>
      <w:r w:rsidRPr="00660D0B">
        <w:t>.</w:t>
      </w:r>
      <w:bookmarkEnd w:id="13"/>
      <w:bookmarkEnd w:id="14"/>
    </w:p>
  </w:footnote>
  <w:footnote w:id="15">
    <w:p w:rsidR="00BA4AEE" w:rsidRPr="00660D0B" w:rsidRDefault="00BA4AEE" w:rsidP="00357371">
      <w:pPr>
        <w:pStyle w:val="FootnoteText"/>
        <w:spacing w:before="60" w:after="60"/>
      </w:pPr>
      <w:r w:rsidRPr="00660D0B">
        <w:rPr>
          <w:rStyle w:val="FootnoteReference"/>
        </w:rPr>
        <w:footnoteRef/>
      </w:r>
      <w:r w:rsidRPr="00660D0B">
        <w:t xml:space="preserve"> Joint S</w:t>
      </w:r>
      <w:r>
        <w:t xml:space="preserve">tatement, Stipulated Facts at </w:t>
      </w:r>
      <w:r w:rsidRPr="00660D0B">
        <w:t>10, para. 33; Complaint, Litigation Exhibit 26, Wholesale Local Services Agreement for Free Conferencing Corporation, at 2 (Sancom-Free Conferencing Agreement).</w:t>
      </w:r>
      <w:r>
        <w:t xml:space="preserve">  </w:t>
      </w:r>
      <w:bookmarkStart w:id="15" w:name="OLE_LINK29"/>
      <w:bookmarkStart w:id="16" w:name="OLE_LINK30"/>
      <w:r>
        <w:t xml:space="preserve">In this formal complaint proceeding, Sancom designated as confidential the </w:t>
      </w:r>
      <w:r w:rsidRPr="00660D0B">
        <w:t>Sancom-Free Conferencing Agreement</w:t>
      </w:r>
      <w:r>
        <w:t xml:space="preserve"> and continues to assert its claim of confidentiality.  Letter from Ross A. Buntrock, counsel for Sancom, to Marlene H. Dortch, Secretary, FCC, File No. EB-10-MD-004, at 2-3 (filed Aug. 20, 2012).  </w:t>
      </w:r>
      <w:bookmarkEnd w:id="15"/>
      <w:bookmarkEnd w:id="16"/>
      <w:r>
        <w:t xml:space="preserve">During the course of litigation between Sancom and Free Conferencing, however, Sancom publicly filed the agreement with the federal district court.  Letter from David H. Solomon and Russell P. Hanser, counsel for Qwest, to Marlene H. Dortch, Secretary, FCC, File No. EB-10-MD-004 (filed Aug. 9, 2012) (attaching </w:t>
      </w:r>
      <w:r w:rsidRPr="00AF101F">
        <w:rPr>
          <w:i/>
        </w:rPr>
        <w:t>Free Conferencing Corp. v. Sancom, Inc.</w:t>
      </w:r>
      <w:r>
        <w:rPr>
          <w:i/>
        </w:rPr>
        <w:t xml:space="preserve"> and MCI Communications Services, Inc.</w:t>
      </w:r>
      <w:r>
        <w:t xml:space="preserve">, No. Civ. 10-4113-KES, Defendant Sancom, Inc.’s Answer to Plaintiff’s Complaint; Counterclaim; and Cross-Claim (filed Oct. 22, 2010)).  We rely upon and cite to the publicly-filed version of the </w:t>
      </w:r>
      <w:r w:rsidRPr="00660D0B">
        <w:t>Sancom-Free Conferencing Agreement</w:t>
      </w:r>
      <w:r>
        <w:t xml:space="preserve"> in this Order.  </w:t>
      </w:r>
      <w:r w:rsidRPr="009E7A3B">
        <w:rPr>
          <w:i/>
        </w:rPr>
        <w:t>See also</w:t>
      </w:r>
      <w:r>
        <w:t xml:space="preserve"> </w:t>
      </w:r>
      <w:r w:rsidRPr="00AF101F">
        <w:rPr>
          <w:i/>
        </w:rPr>
        <w:t>Free Conferencing Corp. v. Sancom, Inc.</w:t>
      </w:r>
      <w:r>
        <w:rPr>
          <w:i/>
        </w:rPr>
        <w:t xml:space="preserve"> and MCI Communications Services, Inc.</w:t>
      </w:r>
      <w:r>
        <w:t xml:space="preserve">, No. Civ. 10-4113-KES, </w:t>
      </w:r>
      <w:r w:rsidRPr="009E7A3B">
        <w:rPr>
          <w:color w:val="000000"/>
        </w:rPr>
        <w:t>Order Granting Defendant Verizon’s Motion to Dismiss</w:t>
      </w:r>
      <w:r w:rsidRPr="009E7A3B">
        <w:rPr>
          <w:bCs/>
          <w:color w:val="000000"/>
        </w:rPr>
        <w:t xml:space="preserve">, 2011 WL 1486199 (D.S.D. Apr. 19, 2011) (describing </w:t>
      </w:r>
      <w:r>
        <w:rPr>
          <w:bCs/>
          <w:color w:val="000000"/>
        </w:rPr>
        <w:t xml:space="preserve">in a publicly-available order </w:t>
      </w:r>
      <w:r w:rsidRPr="009E7A3B">
        <w:rPr>
          <w:bCs/>
          <w:color w:val="000000"/>
        </w:rPr>
        <w:t>the key provisions of the Sancom-Free Conferencing Agreement: “</w:t>
      </w:r>
      <w:r w:rsidRPr="009E7A3B">
        <w:rPr>
          <w:color w:val="000000"/>
        </w:rPr>
        <w:t xml:space="preserve">Under the Agreement, </w:t>
      </w:r>
      <w:r w:rsidRPr="009E7A3B">
        <w:rPr>
          <w:bCs/>
          <w:color w:val="000000"/>
        </w:rPr>
        <w:t>Free</w:t>
      </w:r>
      <w:r w:rsidRPr="009E7A3B">
        <w:rPr>
          <w:color w:val="000000"/>
        </w:rPr>
        <w:t xml:space="preserve"> </w:t>
      </w:r>
      <w:r w:rsidRPr="009E7A3B">
        <w:rPr>
          <w:bCs/>
          <w:color w:val="000000"/>
        </w:rPr>
        <w:t>Conferencing</w:t>
      </w:r>
      <w:r w:rsidRPr="009E7A3B">
        <w:rPr>
          <w:color w:val="000000"/>
        </w:rPr>
        <w:t xml:space="preserve"> agreed to provide at least 2,000,000 minutes of customer service usage in existing business to </w:t>
      </w:r>
      <w:r w:rsidRPr="009E7A3B">
        <w:rPr>
          <w:bCs/>
          <w:color w:val="000000"/>
        </w:rPr>
        <w:t>Sancom</w:t>
      </w:r>
      <w:r w:rsidRPr="009E7A3B">
        <w:rPr>
          <w:color w:val="000000"/>
        </w:rPr>
        <w:t xml:space="preserve">. </w:t>
      </w:r>
      <w:r>
        <w:rPr>
          <w:color w:val="000000"/>
        </w:rPr>
        <w:t xml:space="preserve"> </w:t>
      </w:r>
      <w:r w:rsidRPr="009E7A3B">
        <w:rPr>
          <w:bCs/>
          <w:color w:val="000000"/>
        </w:rPr>
        <w:t>Sancom</w:t>
      </w:r>
      <w:r w:rsidRPr="009E7A3B">
        <w:rPr>
          <w:color w:val="000000"/>
        </w:rPr>
        <w:t xml:space="preserve"> agreed to pay </w:t>
      </w:r>
      <w:r w:rsidRPr="009E7A3B">
        <w:rPr>
          <w:bCs/>
          <w:color w:val="000000"/>
        </w:rPr>
        <w:t>Free</w:t>
      </w:r>
      <w:r w:rsidRPr="009E7A3B">
        <w:rPr>
          <w:color w:val="000000"/>
        </w:rPr>
        <w:t xml:space="preserve"> </w:t>
      </w:r>
      <w:r w:rsidRPr="009E7A3B">
        <w:rPr>
          <w:bCs/>
          <w:color w:val="000000"/>
        </w:rPr>
        <w:t>Conferencing</w:t>
      </w:r>
      <w:r w:rsidRPr="009E7A3B">
        <w:rPr>
          <w:color w:val="000000"/>
        </w:rPr>
        <w:t xml:space="preserve"> a marketing fee of $0.02 per minute based on revenue collected on minutes used per month.”).</w:t>
      </w:r>
    </w:p>
  </w:footnote>
  <w:footnote w:id="16">
    <w:p w:rsidR="00BA4AEE" w:rsidRPr="00660D0B" w:rsidRDefault="00BA4AEE" w:rsidP="00357371">
      <w:pPr>
        <w:pStyle w:val="FootnoteText"/>
        <w:spacing w:before="60" w:after="60"/>
      </w:pPr>
      <w:r w:rsidRPr="00660D0B">
        <w:rPr>
          <w:rStyle w:val="FootnoteReference"/>
        </w:rPr>
        <w:footnoteRef/>
      </w:r>
      <w:r w:rsidRPr="00660D0B">
        <w:t xml:space="preserve"> Joint Statement, Stipulated Facts at 11, para. 40; Answer at 13, para. 27.</w:t>
      </w:r>
    </w:p>
  </w:footnote>
  <w:footnote w:id="17">
    <w:p w:rsidR="00BA4AEE" w:rsidRPr="00660D0B" w:rsidRDefault="00BA4AEE" w:rsidP="00357371">
      <w:pPr>
        <w:pStyle w:val="FootnoteText"/>
        <w:spacing w:before="60" w:after="60"/>
        <w:ind w:right="0"/>
      </w:pPr>
      <w:r w:rsidRPr="00660D0B">
        <w:rPr>
          <w:rStyle w:val="FootnoteReference"/>
        </w:rPr>
        <w:footnoteRef/>
      </w:r>
      <w:r w:rsidRPr="00660D0B">
        <w:t xml:space="preserve"> Sancom-Free Conferencing Agreement at 1, para. 3 (“[Free Conferencing] shall provide [sic] minimum of 2,000,000 minutes of customer use in existing business.”).</w:t>
      </w:r>
    </w:p>
  </w:footnote>
  <w:footnote w:id="18">
    <w:p w:rsidR="00BA4AEE" w:rsidRPr="00660D0B" w:rsidRDefault="00BA4AEE" w:rsidP="00357371">
      <w:pPr>
        <w:pStyle w:val="FootnoteText"/>
        <w:spacing w:before="60" w:after="60"/>
      </w:pPr>
      <w:r w:rsidRPr="00660D0B">
        <w:rPr>
          <w:rStyle w:val="FootnoteReference"/>
        </w:rPr>
        <w:footnoteRef/>
      </w:r>
      <w:r w:rsidRPr="00660D0B">
        <w:t xml:space="preserve"> Joint </w:t>
      </w:r>
      <w:r>
        <w:t xml:space="preserve">Statement, Stipulated Facts at </w:t>
      </w:r>
      <w:r w:rsidRPr="00660D0B">
        <w:t>10, para. 33; Sancom-Free Conferencing Agreement at 2-3.</w:t>
      </w:r>
    </w:p>
  </w:footnote>
  <w:footnote w:id="19">
    <w:p w:rsidR="00BA4AEE" w:rsidRPr="00660D0B" w:rsidRDefault="00BA4AEE" w:rsidP="00357371">
      <w:pPr>
        <w:pStyle w:val="ParaNum"/>
        <w:numPr>
          <w:ilvl w:val="0"/>
          <w:numId w:val="0"/>
        </w:numPr>
        <w:spacing w:before="60" w:after="60"/>
        <w:jc w:val="left"/>
        <w:rPr>
          <w:sz w:val="20"/>
        </w:rPr>
      </w:pPr>
      <w:r w:rsidRPr="00660D0B">
        <w:rPr>
          <w:rStyle w:val="FootnoteReference"/>
        </w:rPr>
        <w:footnoteRef/>
      </w:r>
      <w:r w:rsidRPr="00660D0B">
        <w:rPr>
          <w:sz w:val="20"/>
        </w:rPr>
        <w:t xml:space="preserve"> </w:t>
      </w:r>
      <w:r w:rsidRPr="0066335F">
        <w:rPr>
          <w:i/>
          <w:sz w:val="20"/>
        </w:rPr>
        <w:t>See also</w:t>
      </w:r>
      <w:r>
        <w:rPr>
          <w:sz w:val="20"/>
        </w:rPr>
        <w:t xml:space="preserve"> </w:t>
      </w:r>
      <w:r w:rsidRPr="00660D0B">
        <w:rPr>
          <w:sz w:val="20"/>
        </w:rPr>
        <w:t>Joint S</w:t>
      </w:r>
      <w:r>
        <w:rPr>
          <w:sz w:val="20"/>
        </w:rPr>
        <w:t>tatement, Stipulated Facts at 12</w:t>
      </w:r>
      <w:r w:rsidRPr="00660D0B">
        <w:rPr>
          <w:sz w:val="20"/>
        </w:rPr>
        <w:t>, para. 41.</w:t>
      </w:r>
    </w:p>
  </w:footnote>
  <w:footnote w:id="20">
    <w:p w:rsidR="00BA4AEE" w:rsidRPr="00660D0B" w:rsidRDefault="00BA4AEE" w:rsidP="00357371">
      <w:pPr>
        <w:pStyle w:val="FootnoteText"/>
        <w:spacing w:before="60" w:after="60"/>
      </w:pPr>
      <w:r w:rsidRPr="00660D0B">
        <w:rPr>
          <w:rStyle w:val="FootnoteReference"/>
        </w:rPr>
        <w:footnoteRef/>
      </w:r>
      <w:r w:rsidRPr="00660D0B">
        <w:t xml:space="preserve"> Joint Statement, Stipulated Facts at 2, para. 5.</w:t>
      </w:r>
    </w:p>
  </w:footnote>
  <w:footnote w:id="21">
    <w:p w:rsidR="00BA4AEE" w:rsidRPr="00660D0B" w:rsidRDefault="00BA4AEE" w:rsidP="00357371">
      <w:pPr>
        <w:pStyle w:val="FootnoteText"/>
        <w:spacing w:before="60" w:after="60"/>
      </w:pPr>
      <w:r w:rsidRPr="00660D0B">
        <w:rPr>
          <w:rStyle w:val="FootnoteReference"/>
        </w:rPr>
        <w:footnoteRef/>
      </w:r>
      <w:r w:rsidRPr="00660D0B">
        <w:t xml:space="preserve"> Complaint at 2.  It is not clear from the record whether </w:t>
      </w:r>
      <w:smartTag w:uri="urn:schemas-microsoft-com:office:smarttags" w:element="PlaceType">
        <w:r w:rsidRPr="00660D0B">
          <w:t>Ocean</w:t>
        </w:r>
      </w:smartTag>
      <w:r w:rsidRPr="00660D0B">
        <w:t xml:space="preserve"> </w:t>
      </w:r>
      <w:smartTag w:uri="urn:schemas-microsoft-com:office:smarttags" w:element="PlaceType">
        <w:r w:rsidRPr="00660D0B">
          <w:t>Bay</w:t>
        </w:r>
      </w:smartTag>
      <w:r w:rsidRPr="00660D0B">
        <w:t xml:space="preserve"> continues to provide services anywhere, as neither party was able to locate </w:t>
      </w:r>
      <w:smartTag w:uri="urn:schemas-microsoft-com:office:smarttags" w:element="place">
        <w:smartTag w:uri="urn:schemas-microsoft-com:office:smarttags" w:element="PlaceType">
          <w:r w:rsidRPr="00660D0B">
            <w:t>Ocean</w:t>
          </w:r>
        </w:smartTag>
        <w:r w:rsidRPr="00660D0B">
          <w:t xml:space="preserve"> </w:t>
        </w:r>
        <w:smartTag w:uri="urn:schemas-microsoft-com:office:smarttags" w:element="PlaceType">
          <w:r w:rsidRPr="00660D0B">
            <w:t>Bay</w:t>
          </w:r>
        </w:smartTag>
      </w:smartTag>
      <w:r w:rsidRPr="00660D0B">
        <w:t xml:space="preserve"> representatives.  Complaint at 8, para. 4.</w:t>
      </w:r>
    </w:p>
  </w:footnote>
  <w:footnote w:id="22">
    <w:p w:rsidR="00BA4AEE" w:rsidRPr="00660D0B" w:rsidRDefault="00BA4AEE" w:rsidP="00357371">
      <w:pPr>
        <w:pStyle w:val="FootnoteText"/>
        <w:spacing w:before="60" w:after="60"/>
      </w:pPr>
      <w:r w:rsidRPr="00660D0B">
        <w:rPr>
          <w:rStyle w:val="FootnoteReference"/>
        </w:rPr>
        <w:footnoteRef/>
      </w:r>
      <w:r w:rsidRPr="00660D0B">
        <w:t xml:space="preserve"> Complaint, Litigation Exhibit 58, Wholesale Local Services Agreement f</w:t>
      </w:r>
      <w:bookmarkStart w:id="17" w:name="OLE_LINK23"/>
      <w:bookmarkStart w:id="18" w:name="OLE_LINK24"/>
      <w:r w:rsidRPr="00660D0B">
        <w:t>or Mitchell Telecom, at 2 (Sancom-Ocean Bay Agreement</w:t>
      </w:r>
      <w:bookmarkEnd w:id="17"/>
      <w:bookmarkEnd w:id="18"/>
      <w:r w:rsidRPr="00660D0B">
        <w:t>).</w:t>
      </w:r>
    </w:p>
  </w:footnote>
  <w:footnote w:id="23">
    <w:p w:rsidR="00BA4AEE" w:rsidRPr="00660D0B" w:rsidRDefault="00BA4AEE" w:rsidP="00357371">
      <w:pPr>
        <w:pStyle w:val="FootnoteText"/>
        <w:spacing w:before="60" w:after="60"/>
      </w:pPr>
      <w:r w:rsidRPr="00660D0B">
        <w:rPr>
          <w:rStyle w:val="FootnoteReference"/>
        </w:rPr>
        <w:footnoteRef/>
      </w:r>
      <w:r w:rsidRPr="00660D0B">
        <w:t xml:space="preserve"> Joint Statement, Stipulated Facts at 11, para. 40; Answer at 13, para. 27.</w:t>
      </w:r>
    </w:p>
  </w:footnote>
  <w:footnote w:id="24">
    <w:p w:rsidR="00BA4AEE" w:rsidRPr="00660D0B" w:rsidRDefault="00BA4AEE" w:rsidP="00357371">
      <w:pPr>
        <w:pStyle w:val="FootnoteText"/>
        <w:spacing w:before="60" w:after="60"/>
        <w:ind w:right="0"/>
      </w:pPr>
      <w:r w:rsidRPr="00660D0B">
        <w:rPr>
          <w:rStyle w:val="FootnoteReference"/>
        </w:rPr>
        <w:footnoteRef/>
      </w:r>
      <w:r w:rsidRPr="00660D0B">
        <w:t xml:space="preserve"> Sancom-Ocean Bay Agreement at 1, para. 3 (“Ocean Bay Marketing shall provide up to 10,000,000 calls of customer use in existing business.”).</w:t>
      </w:r>
    </w:p>
  </w:footnote>
  <w:footnote w:id="25">
    <w:p w:rsidR="00BA4AEE" w:rsidRPr="00E856EA" w:rsidRDefault="00BA4AEE" w:rsidP="00E856EA">
      <w:pPr>
        <w:pStyle w:val="FootnoteText"/>
        <w:spacing w:before="60" w:after="60"/>
      </w:pPr>
      <w:r w:rsidRPr="00E856EA">
        <w:rPr>
          <w:rStyle w:val="FootnoteReference"/>
        </w:rPr>
        <w:footnoteRef/>
      </w:r>
      <w:r w:rsidRPr="00E856EA">
        <w:t xml:space="preserve"> Joint Statement, Stipulated Facts at 11, para. 37; Sancom-Ocean Bay Agreement at 3.</w:t>
      </w:r>
    </w:p>
  </w:footnote>
  <w:footnote w:id="26">
    <w:p w:rsidR="00BA4AEE" w:rsidRPr="00E856EA" w:rsidRDefault="00BA4AEE" w:rsidP="00E856EA">
      <w:pPr>
        <w:pStyle w:val="FootnoteText"/>
        <w:spacing w:before="60" w:after="60"/>
      </w:pPr>
      <w:r w:rsidRPr="00E856EA">
        <w:rPr>
          <w:rStyle w:val="FootnoteReference"/>
        </w:rPr>
        <w:footnoteRef/>
      </w:r>
      <w:r w:rsidRPr="00E856EA">
        <w:t xml:space="preserve"> Joint Statement, Stipulated Facts at 12, para. 42.</w:t>
      </w:r>
    </w:p>
  </w:footnote>
  <w:footnote w:id="27">
    <w:p w:rsidR="00BA4AEE" w:rsidRPr="00E856EA" w:rsidRDefault="00BA4AEE" w:rsidP="00E856EA">
      <w:pPr>
        <w:pStyle w:val="FootnoteText"/>
        <w:spacing w:before="60" w:after="60"/>
      </w:pPr>
      <w:r w:rsidRPr="00E856EA">
        <w:rPr>
          <w:rStyle w:val="FootnoteReference"/>
        </w:rPr>
        <w:footnoteRef/>
      </w:r>
      <w:r w:rsidRPr="00E856EA">
        <w:t xml:space="preserve"> Complaint at 12, para. 13 (citing Tariff at 1).</w:t>
      </w:r>
    </w:p>
  </w:footnote>
  <w:footnote w:id="28">
    <w:p w:rsidR="00BA4AEE" w:rsidRPr="00E856EA" w:rsidRDefault="00BA4AEE" w:rsidP="00E856EA">
      <w:pPr>
        <w:pStyle w:val="FootnoteText"/>
        <w:spacing w:before="60" w:after="60"/>
      </w:pPr>
      <w:r w:rsidRPr="00E856EA">
        <w:rPr>
          <w:rStyle w:val="FootnoteReference"/>
        </w:rPr>
        <w:footnoteRef/>
      </w:r>
      <w:r w:rsidRPr="00E856EA">
        <w:t xml:space="preserve"> Tariff § 1.1; Joint Statement, Stipulated Facts at 3, para. 7.</w:t>
      </w:r>
    </w:p>
  </w:footnote>
  <w:footnote w:id="29">
    <w:p w:rsidR="00BA4AEE" w:rsidRPr="00E856EA" w:rsidRDefault="00BA4AEE" w:rsidP="00E856EA">
      <w:pPr>
        <w:pStyle w:val="ParaNum"/>
        <w:widowControl/>
        <w:numPr>
          <w:ilvl w:val="0"/>
          <w:numId w:val="0"/>
        </w:numPr>
        <w:spacing w:before="60" w:after="60"/>
        <w:jc w:val="left"/>
        <w:rPr>
          <w:sz w:val="20"/>
        </w:rPr>
      </w:pPr>
      <w:r w:rsidRPr="00E856EA">
        <w:rPr>
          <w:rStyle w:val="FootnoteReference"/>
        </w:rPr>
        <w:footnoteRef/>
      </w:r>
      <w:r w:rsidRPr="00E856EA">
        <w:rPr>
          <w:sz w:val="20"/>
        </w:rPr>
        <w:t xml:space="preserve"> Tariff § 6.1 (emphasis added).  The Tariff’s definition of “Access Minutes,” in relevant part, also implicates the presence of an “end user”:  “On the originating end of an interstate or foreign call, usage is measured from the time the originating </w:t>
      </w:r>
      <w:r w:rsidRPr="00E856EA">
        <w:rPr>
          <w:i/>
          <w:sz w:val="20"/>
        </w:rPr>
        <w:t>end user</w:t>
      </w:r>
      <w:r w:rsidRPr="00E856EA">
        <w:rPr>
          <w:sz w:val="20"/>
        </w:rPr>
        <w:t xml:space="preserve">’s call is delivered by the Telephone Company to and acknowledged as received by the customer’s facilities connected with the originating exchange.  On the terminating end of an interstate or foreign call, usage is measured from the time the call is received by the </w:t>
      </w:r>
      <w:r w:rsidRPr="00E856EA">
        <w:rPr>
          <w:i/>
          <w:sz w:val="20"/>
        </w:rPr>
        <w:t>end user</w:t>
      </w:r>
      <w:r w:rsidRPr="00E856EA">
        <w:rPr>
          <w:sz w:val="20"/>
        </w:rPr>
        <w:t xml:space="preserve"> in the terminating exchange.”  Tariff § 2.6 (emphasis added).</w:t>
      </w:r>
    </w:p>
  </w:footnote>
  <w:footnote w:id="30">
    <w:p w:rsidR="00BA4AEE" w:rsidRPr="00E856EA" w:rsidRDefault="00BA4AEE" w:rsidP="00E856EA">
      <w:pPr>
        <w:pStyle w:val="FootnoteText"/>
        <w:spacing w:before="60" w:after="60"/>
      </w:pPr>
      <w:r w:rsidRPr="00E856EA">
        <w:rPr>
          <w:rStyle w:val="FootnoteReference"/>
        </w:rPr>
        <w:footnoteRef/>
      </w:r>
      <w:r w:rsidRPr="00E856EA">
        <w:t xml:space="preserve"> Tariff § 2.6.</w:t>
      </w:r>
    </w:p>
  </w:footnote>
  <w:footnote w:id="31">
    <w:p w:rsidR="00BA4AEE" w:rsidRPr="00E856EA" w:rsidRDefault="00BA4AEE" w:rsidP="00E856EA">
      <w:pPr>
        <w:pStyle w:val="FootnoteText"/>
        <w:spacing w:before="60" w:after="60"/>
      </w:pPr>
      <w:r w:rsidRPr="00E856EA">
        <w:rPr>
          <w:rStyle w:val="FootnoteReference"/>
        </w:rPr>
        <w:footnoteRef/>
      </w:r>
      <w:r w:rsidRPr="00E856EA">
        <w:t xml:space="preserve"> Tariff § 2.6 (emphasis added).</w:t>
      </w:r>
    </w:p>
  </w:footnote>
  <w:footnote w:id="32">
    <w:p w:rsidR="00BA4AEE" w:rsidRPr="00E856EA" w:rsidRDefault="00BA4AEE" w:rsidP="00E856EA">
      <w:pPr>
        <w:pStyle w:val="FootnoteText"/>
        <w:spacing w:before="60" w:after="60"/>
      </w:pPr>
      <w:r w:rsidRPr="00E856EA">
        <w:rPr>
          <w:rStyle w:val="FootnoteReference"/>
        </w:rPr>
        <w:footnoteRef/>
      </w:r>
      <w:r w:rsidRPr="00E856EA">
        <w:t xml:space="preserve"> Tariff § 2.4.1 (emphasis added).</w:t>
      </w:r>
    </w:p>
  </w:footnote>
  <w:footnote w:id="33">
    <w:p w:rsidR="00BA4AEE" w:rsidRPr="00E856EA" w:rsidRDefault="00BA4AEE" w:rsidP="00E856EA">
      <w:pPr>
        <w:pStyle w:val="FootnoteText"/>
        <w:spacing w:before="60" w:after="60"/>
      </w:pPr>
      <w:r w:rsidRPr="00E856EA">
        <w:rPr>
          <w:rStyle w:val="FootnoteReference"/>
        </w:rPr>
        <w:footnoteRef/>
      </w:r>
      <w:r w:rsidRPr="00E856EA">
        <w:t xml:space="preserve"> Tariff § 3.1.1 (emphasis added).</w:t>
      </w:r>
    </w:p>
  </w:footnote>
  <w:footnote w:id="34">
    <w:p w:rsidR="00BA4AEE" w:rsidRPr="00660D0B" w:rsidRDefault="00BA4AEE" w:rsidP="00332AF3">
      <w:pPr>
        <w:pStyle w:val="FootnoteText"/>
        <w:spacing w:before="60" w:after="60"/>
      </w:pPr>
      <w:r w:rsidRPr="00660D0B">
        <w:rPr>
          <w:rStyle w:val="FootnoteReference"/>
        </w:rPr>
        <w:footnoteRef/>
      </w:r>
      <w:r w:rsidRPr="00660D0B">
        <w:t xml:space="preserve"> </w:t>
      </w:r>
      <w:bookmarkStart w:id="21" w:name="OLE_LINK39"/>
      <w:bookmarkStart w:id="22" w:name="OLE_LINK40"/>
      <w:r w:rsidRPr="00660D0B">
        <w:t>Sancom-Free Conferencing Agreement at 2-3; Sancom-Ocean Bay Agreement at 3</w:t>
      </w:r>
      <w:bookmarkEnd w:id="21"/>
      <w:bookmarkEnd w:id="22"/>
      <w:r w:rsidRPr="00660D0B">
        <w:t>.</w:t>
      </w:r>
    </w:p>
  </w:footnote>
  <w:footnote w:id="35">
    <w:p w:rsidR="00BA4AEE" w:rsidRPr="00E856EA" w:rsidRDefault="00BA4AEE" w:rsidP="00E856EA">
      <w:pPr>
        <w:pStyle w:val="FootnoteText"/>
        <w:spacing w:before="60" w:after="60"/>
        <w:ind w:right="0"/>
        <w:rPr>
          <w:b/>
        </w:rPr>
      </w:pPr>
      <w:r w:rsidRPr="00E856EA">
        <w:rPr>
          <w:rStyle w:val="FootnoteReference"/>
        </w:rPr>
        <w:footnoteRef/>
      </w:r>
      <w:r w:rsidRPr="00E856EA">
        <w:t xml:space="preserve"> Complaint, FCC Exhibit 3, </w:t>
      </w:r>
      <w:r w:rsidRPr="00E856EA">
        <w:rPr>
          <w:i/>
        </w:rPr>
        <w:t>Sancom, Inc. v. Qwest Communications Corp.</w:t>
      </w:r>
      <w:r w:rsidRPr="00E856EA">
        <w:t>, No. Civ. 07-4147-KES, Complaint (D.S.D. filed Oct. 9, 2007) (</w:t>
      </w:r>
      <w:r w:rsidRPr="00E856EA">
        <w:rPr>
          <w:i/>
        </w:rPr>
        <w:t xml:space="preserve">Sancom v. Qwest </w:t>
      </w:r>
      <w:r w:rsidRPr="00E856EA">
        <w:t xml:space="preserve">Court Complaint).  Sancom amended the Complaint on September 11, 2008.  Complaint, FCC Exhibit 4, </w:t>
      </w:r>
      <w:r w:rsidRPr="00E856EA">
        <w:rPr>
          <w:i/>
        </w:rPr>
        <w:t>Sancom, Inc. v. Qwest Communications Corp.</w:t>
      </w:r>
      <w:r w:rsidRPr="00E856EA">
        <w:t>, No. Civ. 07-4147-KES, First Amended Complaint (D.S.D. filed Sept. 11, 2008).</w:t>
      </w:r>
    </w:p>
  </w:footnote>
  <w:footnote w:id="36">
    <w:p w:rsidR="00BA4AEE" w:rsidRPr="00E856EA" w:rsidRDefault="00BA4AEE" w:rsidP="00E856EA">
      <w:pPr>
        <w:pStyle w:val="FootnoteText"/>
        <w:spacing w:before="60" w:after="60"/>
        <w:ind w:right="0"/>
      </w:pPr>
      <w:r w:rsidRPr="00E856EA">
        <w:rPr>
          <w:rStyle w:val="FootnoteReference"/>
        </w:rPr>
        <w:footnoteRef/>
      </w:r>
      <w:r w:rsidRPr="00E856EA">
        <w:t xml:space="preserve"> Complaint, FCC Exhibit 1, </w:t>
      </w:r>
      <w:r w:rsidRPr="00E856EA">
        <w:rPr>
          <w:i/>
        </w:rPr>
        <w:t>Sancom, Inc. v. Qwest Communications Corp.</w:t>
      </w:r>
      <w:r w:rsidRPr="00E856EA">
        <w:t xml:space="preserve">, No. Civ. 07-4147-KES, Defendant’s Answer and Counterclaim (D.S.D. filed Nov. 6, 2007).  Qwest amended its counterclaims on September 20, 2008.  Complaint, FCC Exhibit 6, </w:t>
      </w:r>
      <w:r w:rsidRPr="00E856EA">
        <w:rPr>
          <w:i/>
        </w:rPr>
        <w:t>Sancom, Inc. v. Qwest Communications Corp.</w:t>
      </w:r>
      <w:r w:rsidRPr="00E856EA">
        <w:t>, No. Civ. 07-4147-KES, Qwest Communications Corporation’s First Amended Counterclaims (D.S.D. filed Sept. 10, 2008)</w:t>
      </w:r>
      <w:r>
        <w:t xml:space="preserve"> (</w:t>
      </w:r>
      <w:r w:rsidRPr="00E856EA">
        <w:t>Qwest’s Counterclaims</w:t>
      </w:r>
      <w:r>
        <w:t>)</w:t>
      </w:r>
      <w:r w:rsidRPr="00E856EA">
        <w:t>.</w:t>
      </w:r>
    </w:p>
  </w:footnote>
  <w:footnote w:id="37">
    <w:p w:rsidR="00BA4AEE" w:rsidRPr="00E856EA" w:rsidRDefault="00BA4AEE" w:rsidP="00E856EA">
      <w:pPr>
        <w:pStyle w:val="FootnoteText"/>
        <w:spacing w:before="60" w:after="60"/>
        <w:ind w:right="0"/>
      </w:pPr>
      <w:r w:rsidRPr="00E856EA">
        <w:rPr>
          <w:rStyle w:val="FootnoteReference"/>
        </w:rPr>
        <w:footnoteRef/>
      </w:r>
      <w:r w:rsidRPr="00E856EA">
        <w:t xml:space="preserve"> Qwest’s Counterclaims at 15-23.</w:t>
      </w:r>
    </w:p>
  </w:footnote>
  <w:footnote w:id="38">
    <w:p w:rsidR="00BA4AEE" w:rsidRPr="00E856EA" w:rsidRDefault="00BA4AEE" w:rsidP="00E856EA">
      <w:pPr>
        <w:pStyle w:val="FootnoteText"/>
        <w:spacing w:before="60" w:after="60"/>
        <w:ind w:right="0"/>
      </w:pPr>
      <w:r w:rsidRPr="00E856EA">
        <w:rPr>
          <w:rStyle w:val="FootnoteReference"/>
        </w:rPr>
        <w:footnoteRef/>
      </w:r>
      <w:r w:rsidRPr="00E856EA">
        <w:t xml:space="preserve"> Qwest’s Counterclaims at 23-24.</w:t>
      </w:r>
    </w:p>
  </w:footnote>
  <w:footnote w:id="39">
    <w:p w:rsidR="00BA4AEE" w:rsidRPr="00E856EA" w:rsidRDefault="00BA4AEE" w:rsidP="00E856EA">
      <w:pPr>
        <w:pStyle w:val="FootnoteText"/>
        <w:spacing w:before="60" w:after="60"/>
        <w:ind w:right="0"/>
      </w:pPr>
      <w:r w:rsidRPr="00E856EA">
        <w:rPr>
          <w:rStyle w:val="FootnoteReference"/>
        </w:rPr>
        <w:footnoteRef/>
      </w:r>
      <w:r w:rsidRPr="00E856EA">
        <w:t xml:space="preserve"> </w:t>
      </w:r>
      <w:r w:rsidRPr="00E856EA">
        <w:rPr>
          <w:i/>
        </w:rPr>
        <w:t>Sancom, Inc. v. Qwest Communications Corp.</w:t>
      </w:r>
      <w:r w:rsidRPr="00E856EA">
        <w:t>, 643 F.Supp.2d 1117, 1132 (D.S.D. 2009).</w:t>
      </w:r>
    </w:p>
  </w:footnote>
  <w:footnote w:id="40">
    <w:p w:rsidR="00BA4AEE" w:rsidRPr="00E856EA" w:rsidRDefault="00BA4AEE" w:rsidP="00E856EA">
      <w:pPr>
        <w:pStyle w:val="FootnoteText"/>
        <w:spacing w:before="60" w:after="60"/>
        <w:ind w:right="0"/>
      </w:pPr>
      <w:r w:rsidRPr="00E856EA">
        <w:rPr>
          <w:rStyle w:val="FootnoteReference"/>
        </w:rPr>
        <w:footnoteRef/>
      </w:r>
      <w:r w:rsidRPr="00E856EA">
        <w:t xml:space="preserve"> Joint Statement, Stipulated Facts at 2, para. 6.</w:t>
      </w:r>
    </w:p>
  </w:footnote>
  <w:footnote w:id="41">
    <w:p w:rsidR="00BA4AEE" w:rsidRPr="00E856EA" w:rsidRDefault="00BA4AEE" w:rsidP="00E856EA">
      <w:pPr>
        <w:pStyle w:val="FootnoteText"/>
        <w:spacing w:before="60" w:after="60"/>
        <w:ind w:right="0"/>
      </w:pPr>
      <w:r w:rsidRPr="00E856EA">
        <w:rPr>
          <w:rStyle w:val="FootnoteReference"/>
        </w:rPr>
        <w:footnoteRef/>
      </w:r>
      <w:r w:rsidRPr="00E856EA">
        <w:t xml:space="preserve"> </w:t>
      </w:r>
      <w:r w:rsidRPr="00E856EA">
        <w:rPr>
          <w:i/>
        </w:rPr>
        <w:t>See id</w:t>
      </w:r>
      <w:r w:rsidRPr="00E856EA">
        <w:t>.</w:t>
      </w:r>
      <w:r>
        <w:t xml:space="preserve"> at 2-3.</w:t>
      </w:r>
    </w:p>
  </w:footnote>
  <w:footnote w:id="42">
    <w:p w:rsidR="00BA4AEE" w:rsidRPr="00E856EA" w:rsidRDefault="00BA4AEE" w:rsidP="00E856EA">
      <w:pPr>
        <w:pStyle w:val="FootnoteText"/>
        <w:spacing w:before="60" w:after="60"/>
      </w:pPr>
      <w:r w:rsidRPr="00E856EA">
        <w:rPr>
          <w:rStyle w:val="FootnoteReference"/>
        </w:rPr>
        <w:footnoteRef/>
      </w:r>
      <w:r w:rsidRPr="00E856EA">
        <w:t xml:space="preserve"> </w:t>
      </w:r>
      <w:r w:rsidRPr="00E856EA">
        <w:rPr>
          <w:i/>
        </w:rPr>
        <w:t>See Sancom v. Qwest Referral Order</w:t>
      </w:r>
      <w:r w:rsidRPr="00E856EA">
        <w:rPr>
          <w:color w:val="000000"/>
        </w:rPr>
        <w:t xml:space="preserve"> at *13.  </w:t>
      </w:r>
      <w:r w:rsidRPr="00E856EA">
        <w:t xml:space="preserve">Joint Statement, Stipulated Facts at 2-3, para. 6.  This Order addresses issue 1.  We will decide issues 2 and 3, if necessary, in a damages proceeding.  </w:t>
      </w:r>
      <w:r w:rsidRPr="00E856EA">
        <w:rPr>
          <w:i/>
        </w:rPr>
        <w:t>See</w:t>
      </w:r>
      <w:r w:rsidRPr="00E856EA">
        <w:t xml:space="preserve"> Letter from Lisa B. Griffin, Deputy Chief, MDRD, to Ross A. Buntrock, counsel for Sancom, Inc.; James F. Bendernagel, Jr., counsel for AT&amp;T Corp.; David H. Solomon, counsel for Qwest Communications Co.; and Michael B. Fingerhut, counsel for Sprint Corp., at 2 (dated May 5, 2010).</w:t>
      </w:r>
    </w:p>
  </w:footnote>
  <w:footnote w:id="43">
    <w:p w:rsidR="00BA4AEE" w:rsidRPr="00E856EA" w:rsidRDefault="00BA4AEE" w:rsidP="00E856EA">
      <w:pPr>
        <w:pStyle w:val="FootnoteText"/>
        <w:spacing w:before="60" w:after="60"/>
      </w:pPr>
      <w:r w:rsidRPr="00E856EA">
        <w:rPr>
          <w:rStyle w:val="FootnoteReference"/>
        </w:rPr>
        <w:footnoteRef/>
      </w:r>
      <w:r w:rsidRPr="00E856EA">
        <w:t xml:space="preserve"> Letter from Lisa B. Griffin, Deputy Chief, MDRD, to Ross A. Buntrock, counsel for Sancom, and David H. Solomon, counsel for Qwest (dated Mar. 25, 2011).</w:t>
      </w:r>
    </w:p>
  </w:footnote>
  <w:footnote w:id="44">
    <w:p w:rsidR="00BA4AEE" w:rsidRPr="00E856EA" w:rsidRDefault="00BA4AEE" w:rsidP="00E856EA">
      <w:pPr>
        <w:spacing w:before="60" w:after="60"/>
        <w:jc w:val="left"/>
        <w:rPr>
          <w:sz w:val="20"/>
        </w:rPr>
      </w:pPr>
      <w:r w:rsidRPr="00E856EA">
        <w:rPr>
          <w:rStyle w:val="FootnoteReference"/>
        </w:rPr>
        <w:footnoteRef/>
      </w:r>
      <w:r w:rsidRPr="00E856EA">
        <w:rPr>
          <w:sz w:val="20"/>
        </w:rPr>
        <w:t xml:space="preserve"> </w:t>
      </w:r>
      <w:r w:rsidRPr="00E856EA">
        <w:rPr>
          <w:i/>
          <w:sz w:val="20"/>
        </w:rPr>
        <w:t xml:space="preserve">See </w:t>
      </w:r>
      <w:r w:rsidRPr="00E856EA">
        <w:rPr>
          <w:i/>
          <w:iCs/>
          <w:sz w:val="20"/>
        </w:rPr>
        <w:t>Qwest Communications Corp. v. Farmers and Merchants Mutual Telephone Co.</w:t>
      </w:r>
      <w:r w:rsidRPr="00E856EA">
        <w:rPr>
          <w:sz w:val="20"/>
        </w:rPr>
        <w:t>, Memorandum Opinion and Order, 22 FCC Rcd 17973 (2007) (</w:t>
      </w:r>
      <w:r w:rsidRPr="00E856EA">
        <w:rPr>
          <w:i/>
          <w:iCs/>
          <w:sz w:val="20"/>
        </w:rPr>
        <w:t>October 2007 Order</w:t>
      </w:r>
      <w:r w:rsidRPr="00E856EA">
        <w:rPr>
          <w:sz w:val="20"/>
        </w:rPr>
        <w:t xml:space="preserve">), </w:t>
      </w:r>
      <w:r w:rsidRPr="00E856EA">
        <w:rPr>
          <w:i/>
          <w:iCs/>
          <w:sz w:val="20"/>
        </w:rPr>
        <w:t>modified on recon</w:t>
      </w:r>
      <w:r w:rsidRPr="00E856EA">
        <w:rPr>
          <w:sz w:val="20"/>
        </w:rPr>
        <w:t>. Second Order on Reconsideration</w:t>
      </w:r>
      <w:r>
        <w:rPr>
          <w:sz w:val="20"/>
        </w:rPr>
        <w:t xml:space="preserve">, 24 FCC Rcd 14801 </w:t>
      </w:r>
      <w:r w:rsidRPr="00E856EA">
        <w:rPr>
          <w:sz w:val="20"/>
        </w:rPr>
        <w:t>(2009) (</w:t>
      </w:r>
      <w:r w:rsidRPr="00E856EA">
        <w:rPr>
          <w:i/>
          <w:iCs/>
          <w:sz w:val="20"/>
        </w:rPr>
        <w:t>Second Recon. Order</w:t>
      </w:r>
      <w:r w:rsidRPr="00E856EA">
        <w:rPr>
          <w:sz w:val="20"/>
        </w:rPr>
        <w:t xml:space="preserve">), </w:t>
      </w:r>
      <w:r w:rsidRPr="00E856EA">
        <w:rPr>
          <w:i/>
          <w:iCs/>
          <w:sz w:val="20"/>
        </w:rPr>
        <w:t>aff’d</w:t>
      </w:r>
      <w:r w:rsidRPr="00E856EA">
        <w:rPr>
          <w:sz w:val="20"/>
        </w:rPr>
        <w:t>, Third Order on Re</w:t>
      </w:r>
      <w:r>
        <w:rPr>
          <w:sz w:val="20"/>
        </w:rPr>
        <w:t xml:space="preserve">consideration, 25 FCC Rcd 3422 </w:t>
      </w:r>
      <w:r w:rsidRPr="00E856EA">
        <w:rPr>
          <w:sz w:val="20"/>
        </w:rPr>
        <w:t>(2010) (</w:t>
      </w:r>
      <w:r w:rsidRPr="00E856EA">
        <w:rPr>
          <w:i/>
          <w:iCs/>
          <w:sz w:val="20"/>
        </w:rPr>
        <w:t>Third Recon. Order</w:t>
      </w:r>
      <w:r w:rsidRPr="00E856EA">
        <w:rPr>
          <w:sz w:val="20"/>
        </w:rPr>
        <w:t xml:space="preserve">), </w:t>
      </w:r>
      <w:r w:rsidRPr="00E856EA">
        <w:rPr>
          <w:i/>
          <w:iCs/>
          <w:sz w:val="20"/>
        </w:rPr>
        <w:t>pet. for rev</w:t>
      </w:r>
      <w:r w:rsidRPr="00E856EA">
        <w:rPr>
          <w:sz w:val="20"/>
        </w:rPr>
        <w:t xml:space="preserve">. </w:t>
      </w:r>
      <w:r w:rsidRPr="00E856EA">
        <w:rPr>
          <w:i/>
          <w:iCs/>
          <w:sz w:val="20"/>
        </w:rPr>
        <w:t>denied</w:t>
      </w:r>
      <w:r w:rsidRPr="00E856EA">
        <w:rPr>
          <w:iCs/>
          <w:sz w:val="20"/>
        </w:rPr>
        <w:t>,</w:t>
      </w:r>
      <w:r w:rsidRPr="00E856EA">
        <w:rPr>
          <w:i/>
          <w:iCs/>
          <w:sz w:val="20"/>
        </w:rPr>
        <w:t xml:space="preserve"> Farmers and Merchants Mutual Telephone Company of Wayland, Iowa v. FCC</w:t>
      </w:r>
      <w:r w:rsidRPr="00E856EA">
        <w:rPr>
          <w:sz w:val="20"/>
        </w:rPr>
        <w:t>, 668 F.3d 714 (D.C. Cir. 2011) (</w:t>
      </w:r>
      <w:r w:rsidRPr="00E856EA">
        <w:rPr>
          <w:i/>
          <w:sz w:val="20"/>
        </w:rPr>
        <w:t>Farmers v. FCC</w:t>
      </w:r>
      <w:r w:rsidRPr="00E856EA">
        <w:rPr>
          <w:sz w:val="20"/>
        </w:rPr>
        <w:t>).</w:t>
      </w:r>
    </w:p>
  </w:footnote>
  <w:footnote w:id="45">
    <w:p w:rsidR="00BA4AEE" w:rsidRPr="00E856EA" w:rsidRDefault="00BA4AEE" w:rsidP="00E856EA">
      <w:pPr>
        <w:pStyle w:val="FootnoteText"/>
        <w:spacing w:before="60" w:after="60"/>
      </w:pPr>
      <w:r w:rsidRPr="00E856EA">
        <w:rPr>
          <w:rStyle w:val="FootnoteReference"/>
        </w:rPr>
        <w:footnoteRef/>
      </w:r>
      <w:r w:rsidRPr="00E856EA">
        <w:t xml:space="preserve"> </w:t>
      </w:r>
      <w:r w:rsidRPr="00E856EA">
        <w:rPr>
          <w:i/>
        </w:rPr>
        <w:t>See Second Recon. Order</w:t>
      </w:r>
      <w:r w:rsidRPr="00E856EA">
        <w:t xml:space="preserve">, 24 FCC Rcd at 14805, para. 10; </w:t>
      </w:r>
      <w:r w:rsidRPr="00E856EA">
        <w:rPr>
          <w:i/>
        </w:rPr>
        <w:t>see also</w:t>
      </w:r>
      <w:r w:rsidRPr="00E856EA">
        <w:t xml:space="preserve"> </w:t>
      </w:r>
      <w:r w:rsidRPr="00E856EA">
        <w:rPr>
          <w:i/>
        </w:rPr>
        <w:t>October 2007 Order</w:t>
      </w:r>
      <w:r w:rsidRPr="00E856EA">
        <w:t>, 22 FCC Rcd at 17987, para. 35 &amp; n.116.</w:t>
      </w:r>
    </w:p>
  </w:footnote>
  <w:footnote w:id="46">
    <w:p w:rsidR="00BA4AEE" w:rsidRPr="00E856EA" w:rsidRDefault="00BA4AEE" w:rsidP="00E856EA">
      <w:pPr>
        <w:pStyle w:val="FootnoteText"/>
        <w:spacing w:before="60" w:after="60"/>
      </w:pPr>
      <w:r w:rsidRPr="00E856EA">
        <w:rPr>
          <w:rStyle w:val="FootnoteReference"/>
        </w:rPr>
        <w:footnoteRef/>
      </w:r>
      <w:r w:rsidRPr="00E856EA">
        <w:t xml:space="preserve"> As with Sancom’s tariff, Farmers’ tariff imposed charges for transporting calls to or from an “end user’s premises,” and defined “end user” as “any customer of an interstate or foreign telecommunications service that is not a carrier.”  </w:t>
      </w:r>
      <w:r w:rsidRPr="00E856EA">
        <w:rPr>
          <w:i/>
        </w:rPr>
        <w:t>Second Recon. Order</w:t>
      </w:r>
      <w:r w:rsidRPr="00E856EA">
        <w:t xml:space="preserve">, </w:t>
      </w:r>
      <w:bookmarkStart w:id="23" w:name="OLE_LINK19"/>
      <w:bookmarkStart w:id="24" w:name="OLE_LINK20"/>
      <w:r w:rsidRPr="00E856EA">
        <w:t xml:space="preserve">24 FCC Rcd at </w:t>
      </w:r>
      <w:bookmarkEnd w:id="23"/>
      <w:bookmarkEnd w:id="24"/>
      <w:r w:rsidRPr="00E856EA">
        <w:t>14805, para. 10.</w:t>
      </w:r>
    </w:p>
  </w:footnote>
  <w:footnote w:id="47">
    <w:p w:rsidR="00BA4AEE" w:rsidRPr="00E856EA" w:rsidRDefault="00BA4AEE" w:rsidP="00E856EA">
      <w:pPr>
        <w:spacing w:before="60" w:after="60"/>
        <w:jc w:val="left"/>
        <w:rPr>
          <w:sz w:val="20"/>
        </w:rPr>
      </w:pPr>
      <w:r w:rsidRPr="00E856EA">
        <w:rPr>
          <w:rStyle w:val="FootnoteReference"/>
        </w:rPr>
        <w:footnoteRef/>
      </w:r>
      <w:r w:rsidRPr="00E856EA">
        <w:rPr>
          <w:sz w:val="20"/>
        </w:rPr>
        <w:t xml:space="preserve"> </w:t>
      </w:r>
      <w:r w:rsidRPr="00E856EA">
        <w:rPr>
          <w:i/>
          <w:sz w:val="20"/>
        </w:rPr>
        <w:t>Second Recon. Order</w:t>
      </w:r>
      <w:r w:rsidRPr="00E856EA">
        <w:rPr>
          <w:sz w:val="20"/>
        </w:rPr>
        <w:t xml:space="preserve">, 24 FCC Rcd at 14806, para. 12.  One contract expressly stated there would be no charges for services.  </w:t>
      </w:r>
      <w:r w:rsidRPr="00E856EA">
        <w:rPr>
          <w:i/>
          <w:sz w:val="20"/>
        </w:rPr>
        <w:t>See id.</w:t>
      </w:r>
      <w:r w:rsidRPr="00E856EA">
        <w:rPr>
          <w:sz w:val="20"/>
        </w:rPr>
        <w:t xml:space="preserve"> at n.49.</w:t>
      </w:r>
    </w:p>
  </w:footnote>
  <w:footnote w:id="48">
    <w:p w:rsidR="00BA4AEE" w:rsidRPr="00E856EA" w:rsidRDefault="00BA4AEE" w:rsidP="00E856EA">
      <w:pPr>
        <w:spacing w:before="60" w:after="60"/>
        <w:jc w:val="left"/>
        <w:rPr>
          <w:sz w:val="20"/>
        </w:rPr>
      </w:pPr>
      <w:r w:rsidRPr="00E856EA">
        <w:rPr>
          <w:rStyle w:val="FootnoteReference"/>
        </w:rPr>
        <w:footnoteRef/>
      </w:r>
      <w:r w:rsidRPr="00E856EA">
        <w:rPr>
          <w:sz w:val="20"/>
        </w:rPr>
        <w:t xml:space="preserve"> </w:t>
      </w:r>
      <w:r w:rsidRPr="00E856EA">
        <w:rPr>
          <w:i/>
          <w:sz w:val="20"/>
        </w:rPr>
        <w:t>Second Recon. Order</w:t>
      </w:r>
      <w:r w:rsidRPr="00E856EA">
        <w:rPr>
          <w:sz w:val="20"/>
        </w:rPr>
        <w:t>,</w:t>
      </w:r>
      <w:r w:rsidRPr="00E856EA">
        <w:rPr>
          <w:i/>
          <w:sz w:val="20"/>
        </w:rPr>
        <w:t xml:space="preserve"> </w:t>
      </w:r>
      <w:r w:rsidRPr="00E856EA">
        <w:rPr>
          <w:sz w:val="20"/>
        </w:rPr>
        <w:t>24 FCC Rcd at 14806, 14812, paras. 12, 25.</w:t>
      </w:r>
    </w:p>
  </w:footnote>
  <w:footnote w:id="49">
    <w:p w:rsidR="00BA4AEE" w:rsidRPr="00E856EA" w:rsidRDefault="00BA4AEE" w:rsidP="00E856EA">
      <w:pPr>
        <w:pStyle w:val="FootnoteText"/>
        <w:spacing w:before="60" w:after="60"/>
        <w:ind w:right="0"/>
      </w:pPr>
      <w:r w:rsidRPr="00E856EA">
        <w:rPr>
          <w:rStyle w:val="FootnoteReference"/>
        </w:rPr>
        <w:footnoteRef/>
      </w:r>
      <w:r w:rsidRPr="00E856EA">
        <w:t xml:space="preserve"> </w:t>
      </w:r>
      <w:r w:rsidRPr="00E856EA">
        <w:rPr>
          <w:i/>
        </w:rPr>
        <w:t>Second Recon. Order</w:t>
      </w:r>
      <w:r w:rsidRPr="00E856EA">
        <w:t>,</w:t>
      </w:r>
      <w:r w:rsidRPr="00E856EA">
        <w:rPr>
          <w:i/>
        </w:rPr>
        <w:t xml:space="preserve"> </w:t>
      </w:r>
      <w:r w:rsidR="00CC33BF" w:rsidRPr="00E856EA">
        <w:t xml:space="preserve">24 FCC Rcd </w:t>
      </w:r>
      <w:r w:rsidRPr="00E856EA">
        <w:t>at 14808, para. 16.</w:t>
      </w:r>
    </w:p>
  </w:footnote>
  <w:footnote w:id="50">
    <w:p w:rsidR="00BA4AEE" w:rsidRPr="00E856EA" w:rsidRDefault="00BA4AEE" w:rsidP="00E856EA">
      <w:pPr>
        <w:spacing w:before="60" w:after="60"/>
        <w:jc w:val="left"/>
        <w:rPr>
          <w:sz w:val="20"/>
        </w:rPr>
      </w:pPr>
      <w:r w:rsidRPr="00E856EA">
        <w:rPr>
          <w:rStyle w:val="FootnoteReference"/>
        </w:rPr>
        <w:footnoteRef/>
      </w:r>
      <w:r w:rsidRPr="00E856EA">
        <w:rPr>
          <w:sz w:val="20"/>
        </w:rPr>
        <w:t xml:space="preserve"> </w:t>
      </w:r>
      <w:r w:rsidR="00CC33BF">
        <w:rPr>
          <w:i/>
          <w:sz w:val="20"/>
        </w:rPr>
        <w:t>Id.</w:t>
      </w:r>
      <w:r w:rsidR="00CC33BF" w:rsidRPr="007748A8">
        <w:rPr>
          <w:i/>
          <w:sz w:val="20"/>
        </w:rPr>
        <w:t xml:space="preserve"> </w:t>
      </w:r>
      <w:r w:rsidRPr="00E856EA">
        <w:rPr>
          <w:sz w:val="20"/>
        </w:rPr>
        <w:t>at 14807, para. 14.</w:t>
      </w:r>
    </w:p>
  </w:footnote>
  <w:footnote w:id="51">
    <w:p w:rsidR="00BA4AEE" w:rsidRPr="00E856EA" w:rsidRDefault="00BA4AEE" w:rsidP="00E856EA">
      <w:pPr>
        <w:spacing w:before="60" w:after="60"/>
        <w:jc w:val="left"/>
        <w:rPr>
          <w:sz w:val="20"/>
        </w:rPr>
      </w:pPr>
      <w:r w:rsidRPr="00E856EA">
        <w:rPr>
          <w:rStyle w:val="FootnoteReference"/>
        </w:rPr>
        <w:footnoteRef/>
      </w:r>
      <w:r w:rsidRPr="00E856EA">
        <w:rPr>
          <w:sz w:val="20"/>
        </w:rPr>
        <w:t xml:space="preserve"> </w:t>
      </w:r>
      <w:r w:rsidR="00607F90">
        <w:rPr>
          <w:i/>
          <w:sz w:val="20"/>
        </w:rPr>
        <w:t>Id.</w:t>
      </w:r>
      <w:r w:rsidRPr="00E856EA">
        <w:rPr>
          <w:sz w:val="20"/>
        </w:rPr>
        <w:t xml:space="preserve"> at 14806, para. 13.</w:t>
      </w:r>
    </w:p>
  </w:footnote>
  <w:footnote w:id="52">
    <w:p w:rsidR="00BA4AEE" w:rsidRPr="00E856EA" w:rsidRDefault="00BA4AEE" w:rsidP="00E856EA">
      <w:pPr>
        <w:spacing w:before="60" w:after="60"/>
        <w:jc w:val="left"/>
        <w:rPr>
          <w:sz w:val="20"/>
        </w:rPr>
      </w:pPr>
      <w:r w:rsidRPr="00E856EA">
        <w:rPr>
          <w:rStyle w:val="FootnoteReference"/>
        </w:rPr>
        <w:footnoteRef/>
      </w:r>
      <w:r w:rsidRPr="00E856EA">
        <w:rPr>
          <w:sz w:val="20"/>
        </w:rPr>
        <w:t xml:space="preserve"> </w:t>
      </w:r>
      <w:r w:rsidR="00607F90">
        <w:rPr>
          <w:i/>
          <w:sz w:val="20"/>
        </w:rPr>
        <w:t>Id.</w:t>
      </w:r>
      <w:r w:rsidRPr="00E856EA">
        <w:rPr>
          <w:sz w:val="20"/>
        </w:rPr>
        <w:t xml:space="preserve"> at 14807, para. 14.</w:t>
      </w:r>
    </w:p>
  </w:footnote>
  <w:footnote w:id="53">
    <w:p w:rsidR="00BA4AEE" w:rsidRPr="00E856EA" w:rsidRDefault="00BA4AEE" w:rsidP="00E856EA">
      <w:pPr>
        <w:spacing w:before="60" w:after="60"/>
        <w:jc w:val="left"/>
        <w:rPr>
          <w:sz w:val="20"/>
        </w:rPr>
      </w:pPr>
      <w:r w:rsidRPr="00E856EA">
        <w:rPr>
          <w:rStyle w:val="FootnoteReference"/>
        </w:rPr>
        <w:footnoteRef/>
      </w:r>
      <w:r w:rsidRPr="00E856EA">
        <w:rPr>
          <w:sz w:val="20"/>
        </w:rPr>
        <w:t xml:space="preserve"> </w:t>
      </w:r>
      <w:r w:rsidR="00607F90">
        <w:rPr>
          <w:i/>
          <w:sz w:val="20"/>
        </w:rPr>
        <w:t>Id.</w:t>
      </w:r>
      <w:r w:rsidRPr="00E856EA">
        <w:rPr>
          <w:sz w:val="20"/>
        </w:rPr>
        <w:t xml:space="preserve"> at 14813, n.97.</w:t>
      </w:r>
    </w:p>
  </w:footnote>
  <w:footnote w:id="54">
    <w:p w:rsidR="00BA4AEE" w:rsidRPr="00E856EA" w:rsidRDefault="00BA4AEE" w:rsidP="00E856EA">
      <w:pPr>
        <w:pStyle w:val="FootnoteText"/>
        <w:spacing w:before="60" w:after="60"/>
      </w:pPr>
      <w:r w:rsidRPr="00E856EA">
        <w:rPr>
          <w:rStyle w:val="FootnoteReference"/>
        </w:rPr>
        <w:footnoteRef/>
      </w:r>
      <w:r w:rsidRPr="00E856EA">
        <w:t xml:space="preserve"> </w:t>
      </w:r>
      <w:r w:rsidR="00607F90">
        <w:rPr>
          <w:i/>
        </w:rPr>
        <w:t>Id.</w:t>
      </w:r>
      <w:r w:rsidRPr="00E856EA">
        <w:t xml:space="preserve"> at 14810, para. 21.</w:t>
      </w:r>
    </w:p>
  </w:footnote>
  <w:footnote w:id="55">
    <w:p w:rsidR="00BA4AEE" w:rsidRPr="00E856EA" w:rsidRDefault="00BA4AEE" w:rsidP="00E856EA">
      <w:pPr>
        <w:pStyle w:val="ParaNum"/>
        <w:numPr>
          <w:ilvl w:val="0"/>
          <w:numId w:val="0"/>
        </w:numPr>
        <w:spacing w:before="60" w:after="60"/>
        <w:jc w:val="left"/>
        <w:rPr>
          <w:sz w:val="20"/>
        </w:rPr>
      </w:pPr>
      <w:r w:rsidRPr="00E856EA">
        <w:rPr>
          <w:rStyle w:val="FootnoteReference"/>
        </w:rPr>
        <w:footnoteRef/>
      </w:r>
      <w:r w:rsidRPr="00E856EA">
        <w:rPr>
          <w:sz w:val="20"/>
        </w:rPr>
        <w:t xml:space="preserve"> </w:t>
      </w:r>
      <w:r w:rsidR="00607F90">
        <w:rPr>
          <w:i/>
          <w:sz w:val="20"/>
        </w:rPr>
        <w:t>Id.</w:t>
      </w:r>
      <w:r w:rsidRPr="00E856EA">
        <w:rPr>
          <w:sz w:val="20"/>
        </w:rPr>
        <w:t xml:space="preserve"> at 14805, para. 10.</w:t>
      </w:r>
    </w:p>
  </w:footnote>
  <w:footnote w:id="56">
    <w:p w:rsidR="00BA4AEE" w:rsidRPr="00E856EA" w:rsidRDefault="00BA4AEE" w:rsidP="00E856EA">
      <w:pPr>
        <w:pStyle w:val="FootnoteText"/>
        <w:spacing w:before="60" w:after="60"/>
      </w:pPr>
      <w:r w:rsidRPr="00E856EA">
        <w:rPr>
          <w:rStyle w:val="FootnoteReference"/>
        </w:rPr>
        <w:footnoteRef/>
      </w:r>
      <w:r w:rsidRPr="00E856EA">
        <w:t xml:space="preserve"> </w:t>
      </w:r>
      <w:r w:rsidRPr="00E856EA">
        <w:rPr>
          <w:i/>
        </w:rPr>
        <w:t>Farmers v. FCC</w:t>
      </w:r>
      <w:r>
        <w:t xml:space="preserve">, 668 F.3d at 720 </w:t>
      </w:r>
      <w:r w:rsidRPr="00E856EA">
        <w:t>(citations omitted).</w:t>
      </w:r>
    </w:p>
  </w:footnote>
  <w:footnote w:id="57">
    <w:p w:rsidR="00BA4AEE" w:rsidRPr="00E856EA" w:rsidRDefault="00BA4AEE" w:rsidP="00E856EA">
      <w:pPr>
        <w:pStyle w:val="FootnoteText"/>
        <w:spacing w:before="60" w:after="60"/>
      </w:pPr>
      <w:r w:rsidRPr="00E856EA">
        <w:rPr>
          <w:rStyle w:val="FootnoteReference"/>
        </w:rPr>
        <w:footnoteRef/>
      </w:r>
      <w:r w:rsidRPr="00E856EA">
        <w:t xml:space="preserve"> </w:t>
      </w:r>
      <w:r w:rsidRPr="00E856EA">
        <w:rPr>
          <w:i/>
        </w:rPr>
        <w:t>Farmers v. FCC</w:t>
      </w:r>
      <w:r w:rsidRPr="00E856EA">
        <w:t>, 668 F.3d at 723.</w:t>
      </w:r>
    </w:p>
  </w:footnote>
  <w:footnote w:id="58">
    <w:p w:rsidR="00BA4AEE" w:rsidRPr="00E856EA" w:rsidRDefault="00BA4AEE" w:rsidP="00E856EA">
      <w:pPr>
        <w:pStyle w:val="FootnoteText"/>
        <w:spacing w:before="60" w:after="60"/>
      </w:pPr>
      <w:r w:rsidRPr="00E856EA">
        <w:rPr>
          <w:rStyle w:val="FootnoteReference"/>
        </w:rPr>
        <w:footnoteRef/>
      </w:r>
      <w:r w:rsidRPr="00E856EA">
        <w:t xml:space="preserve"> 47 U.S.C. § 203(c); </w:t>
      </w:r>
      <w:r w:rsidRPr="00E856EA">
        <w:rPr>
          <w:i/>
        </w:rPr>
        <w:t>see AT&amp;T v. Central Office Telephone, Inc.</w:t>
      </w:r>
      <w:r w:rsidRPr="00E856EA">
        <w:t xml:space="preserve">, 524 U.S. 214, 222 (1988) (“Ignorance or misquotation of rates is not an excuse for paying or charging either less or more than the rate filed.  This rule [the filed rate doctrine] is undeniably strict and it obviously may work hardship in some cases ….”); </w:t>
      </w:r>
      <w:r w:rsidRPr="00E856EA">
        <w:rPr>
          <w:i/>
        </w:rPr>
        <w:t>see also id.</w:t>
      </w:r>
      <w:r w:rsidRPr="00E856EA">
        <w:t xml:space="preserve"> at 223-25 (stating that the filed rate doctrine not only addresses ratesetting, but also applies to a tariff’s other terms such as provisioning and billing).</w:t>
      </w:r>
    </w:p>
  </w:footnote>
  <w:footnote w:id="59">
    <w:p w:rsidR="00BA4AEE" w:rsidRPr="00E856EA" w:rsidRDefault="00BA4AEE" w:rsidP="00E856EA">
      <w:pPr>
        <w:pStyle w:val="FootnoteText"/>
        <w:spacing w:before="60" w:after="60"/>
      </w:pPr>
      <w:r w:rsidRPr="00E856EA">
        <w:rPr>
          <w:rStyle w:val="FootnoteReference"/>
        </w:rPr>
        <w:footnoteRef/>
      </w:r>
      <w:r w:rsidRPr="00E856EA">
        <w:t xml:space="preserve"> </w:t>
      </w:r>
      <w:r w:rsidRPr="00E856EA">
        <w:rPr>
          <w:i/>
        </w:rPr>
        <w:t xml:space="preserve">See </w:t>
      </w:r>
      <w:r w:rsidR="00030024">
        <w:rPr>
          <w:i/>
        </w:rPr>
        <w:t xml:space="preserve">supra </w:t>
      </w:r>
      <w:r w:rsidRPr="00E856EA">
        <w:t xml:space="preserve">paragraph 6.  </w:t>
      </w:r>
      <w:r w:rsidRPr="00E856EA">
        <w:rPr>
          <w:bCs/>
          <w:i/>
        </w:rPr>
        <w:t>See also Second Recon. Order</w:t>
      </w:r>
      <w:r w:rsidRPr="00E856EA">
        <w:t xml:space="preserve">, 24 FCC Rcd at 14805, para. 10; </w:t>
      </w:r>
      <w:r w:rsidRPr="00E856EA">
        <w:rPr>
          <w:i/>
        </w:rPr>
        <w:t>AT&amp;T v. YMax</w:t>
      </w:r>
      <w:r w:rsidRPr="00E856EA">
        <w:t>, Memorandum Opinion and Order, 26 FCC Rcd 5742, 5749-50, para. 16 (2011).</w:t>
      </w:r>
    </w:p>
  </w:footnote>
  <w:footnote w:id="60">
    <w:p w:rsidR="00BA4AEE" w:rsidRPr="00E856EA" w:rsidRDefault="00BA4AEE" w:rsidP="00E856EA">
      <w:pPr>
        <w:pStyle w:val="FootnoteText"/>
        <w:spacing w:before="60" w:after="60"/>
        <w:ind w:right="0"/>
      </w:pPr>
      <w:r w:rsidRPr="00E856EA">
        <w:rPr>
          <w:rStyle w:val="FootnoteReference"/>
        </w:rPr>
        <w:footnoteRef/>
      </w:r>
      <w:r w:rsidRPr="00E856EA">
        <w:t xml:space="preserve"> Tariff § 2.4.1; Complaint Legal Analysis at 23.  </w:t>
      </w:r>
      <w:r w:rsidRPr="00E856EA">
        <w:rPr>
          <w:iCs/>
        </w:rPr>
        <w:t xml:space="preserve">Sancom’s Local Exchange Tariff similarly states that “[b]illing to customers shall be scheduled monthly.”  Complaint, Litigation Exhibit 8, </w:t>
      </w:r>
      <w:r w:rsidRPr="00E856EA">
        <w:t>Local Exchange Tariff (Local Exchange Tariff) at Part II, Original Sheet 16;</w:t>
      </w:r>
      <w:r>
        <w:t xml:space="preserve"> Complaint Legal Analysis at 23;</w:t>
      </w:r>
      <w:r w:rsidRPr="00E856EA">
        <w:t xml:space="preserve"> Joint Statement at 8.</w:t>
      </w:r>
    </w:p>
  </w:footnote>
  <w:footnote w:id="61">
    <w:p w:rsidR="00BA4AEE" w:rsidRPr="00E856EA" w:rsidRDefault="00BA4AEE" w:rsidP="00E856EA">
      <w:pPr>
        <w:pStyle w:val="FootnoteText"/>
        <w:spacing w:before="60" w:after="60"/>
      </w:pPr>
      <w:r w:rsidRPr="00E856EA">
        <w:rPr>
          <w:rStyle w:val="FootnoteReference"/>
        </w:rPr>
        <w:footnoteRef/>
      </w:r>
      <w:r w:rsidRPr="00E856EA">
        <w:t xml:space="preserve"> Joint Statement at 11; Answer at 13, para. 27.</w:t>
      </w:r>
    </w:p>
  </w:footnote>
  <w:footnote w:id="62">
    <w:p w:rsidR="00BA4AEE" w:rsidRPr="00E856EA" w:rsidRDefault="00BA4AEE" w:rsidP="00E856EA">
      <w:pPr>
        <w:pStyle w:val="ParaNum"/>
        <w:widowControl/>
        <w:numPr>
          <w:ilvl w:val="0"/>
          <w:numId w:val="0"/>
        </w:numPr>
        <w:spacing w:before="60" w:after="60"/>
        <w:jc w:val="left"/>
        <w:rPr>
          <w:sz w:val="20"/>
        </w:rPr>
      </w:pPr>
      <w:r w:rsidRPr="00E856EA">
        <w:rPr>
          <w:rStyle w:val="FootnoteReference"/>
        </w:rPr>
        <w:footnoteRef/>
      </w:r>
      <w:r w:rsidRPr="00E856EA">
        <w:rPr>
          <w:sz w:val="20"/>
        </w:rPr>
        <w:t xml:space="preserve"> Tariff §§ 3.2, 17.1.4.</w:t>
      </w:r>
    </w:p>
  </w:footnote>
  <w:footnote w:id="63">
    <w:p w:rsidR="00BA4AEE" w:rsidRPr="00E856EA" w:rsidRDefault="00BA4AEE" w:rsidP="00E856EA">
      <w:pPr>
        <w:pStyle w:val="FootnoteText"/>
        <w:spacing w:before="60" w:after="60"/>
      </w:pPr>
      <w:r w:rsidRPr="00E856EA">
        <w:rPr>
          <w:rStyle w:val="FootnoteReference"/>
        </w:rPr>
        <w:footnoteRef/>
      </w:r>
      <w:r w:rsidRPr="00E856EA">
        <w:t xml:space="preserve"> Tariff § 3.1.1.</w:t>
      </w:r>
    </w:p>
  </w:footnote>
  <w:footnote w:id="64">
    <w:p w:rsidR="00BA4AEE" w:rsidRPr="00E856EA" w:rsidRDefault="00BA4AEE" w:rsidP="000F64ED">
      <w:pPr>
        <w:pStyle w:val="FootnoteText"/>
        <w:spacing w:before="60" w:after="60"/>
        <w:ind w:right="0"/>
        <w:rPr>
          <w:b/>
        </w:rPr>
      </w:pPr>
      <w:r w:rsidRPr="00E856EA">
        <w:rPr>
          <w:rStyle w:val="FootnoteReference"/>
        </w:rPr>
        <w:footnoteRef/>
      </w:r>
      <w:r w:rsidRPr="00E856EA">
        <w:t xml:space="preserve"> </w:t>
      </w:r>
      <w:r>
        <w:t xml:space="preserve">Joint Statement at 16, para. 56; </w:t>
      </w:r>
      <w:r w:rsidRPr="00E856EA">
        <w:t>Complaint at 28-29, paras. 36-37 (citing Complaint, Litigation Exhibit 11 (Bortnem Dep.) at 58:4-5) [Redacted confidential information regarding Sancom’s unique billing arrangements with the Free Calling Companies.]; Reply at 18-19.</w:t>
      </w:r>
    </w:p>
  </w:footnote>
  <w:footnote w:id="65">
    <w:p w:rsidR="00BA4AEE" w:rsidRPr="00E856EA" w:rsidRDefault="00BA4AEE" w:rsidP="00E856EA">
      <w:pPr>
        <w:pStyle w:val="FootnoteText"/>
        <w:spacing w:before="60" w:after="60"/>
      </w:pPr>
      <w:r w:rsidRPr="00E856EA">
        <w:rPr>
          <w:rStyle w:val="FootnoteReference"/>
        </w:rPr>
        <w:footnoteRef/>
      </w:r>
      <w:r w:rsidRPr="00E856EA">
        <w:t xml:space="preserve"> Complaint at 27-28, para. 35; Reply at 15-18.</w:t>
      </w:r>
    </w:p>
  </w:footnote>
  <w:footnote w:id="66">
    <w:p w:rsidR="00BA4AEE" w:rsidRPr="00E856EA" w:rsidRDefault="00BA4AEE" w:rsidP="00E856EA">
      <w:pPr>
        <w:pStyle w:val="FootnoteText"/>
        <w:spacing w:before="60" w:after="60"/>
      </w:pPr>
      <w:r w:rsidRPr="00E856EA">
        <w:rPr>
          <w:rStyle w:val="FootnoteReference"/>
        </w:rPr>
        <w:footnoteRef/>
      </w:r>
      <w:r w:rsidRPr="00E856EA">
        <w:t xml:space="preserve"> Complaint at 27-29, paras. 35-37; Reply at 18-19.  [Redacted confidential information regarding Sancom’s unique billing arrangements with the Free Calling Companies.]  Complaint Exhibit 14 (Thompson Dep.) at 107:18-19 [Redacted confidential information regarding Sancom’s unique billing arrangements with the Free Calling Companies.]; Bortnem Dep. at 119:1-10 [Redacted confidential information regarding Sancom’s unique billing arrangements with the Free Calling Companies.]; </w:t>
      </w:r>
      <w:r w:rsidRPr="00E856EA">
        <w:rPr>
          <w:i/>
        </w:rPr>
        <w:t xml:space="preserve">see also </w:t>
      </w:r>
      <w:r w:rsidRPr="00E856EA">
        <w:t>Calabro Dep. at 127 [Redacted confidential information regarding Sancom’s unique billing arrangements with the Free Calling Companies.]</w:t>
      </w:r>
      <w:r>
        <w:t xml:space="preserve">  Joint Statement at 16.</w:t>
      </w:r>
    </w:p>
  </w:footnote>
  <w:footnote w:id="67">
    <w:p w:rsidR="00BA4AEE" w:rsidRPr="00E856EA" w:rsidRDefault="00BA4AEE" w:rsidP="00E856EA">
      <w:pPr>
        <w:pStyle w:val="FootnoteText"/>
        <w:spacing w:before="60" w:after="60"/>
      </w:pPr>
      <w:r w:rsidRPr="00E856EA">
        <w:rPr>
          <w:rStyle w:val="FootnoteReference"/>
        </w:rPr>
        <w:footnoteRef/>
      </w:r>
      <w:r w:rsidRPr="00E856EA">
        <w:t xml:space="preserve"> Answer, Legal Analysis at 30.</w:t>
      </w:r>
    </w:p>
  </w:footnote>
  <w:footnote w:id="68">
    <w:p w:rsidR="00BA4AEE" w:rsidRPr="00E856EA" w:rsidRDefault="00BA4AEE" w:rsidP="00E856EA">
      <w:pPr>
        <w:pStyle w:val="FootnoteText"/>
        <w:spacing w:before="60" w:after="60"/>
      </w:pPr>
      <w:r w:rsidRPr="00E856EA">
        <w:rPr>
          <w:rStyle w:val="FootnoteReference"/>
        </w:rPr>
        <w:footnoteRef/>
      </w:r>
      <w:r w:rsidRPr="00E856EA">
        <w:t xml:space="preserve"> </w:t>
      </w:r>
      <w:r w:rsidRPr="00E856EA">
        <w:rPr>
          <w:i/>
        </w:rPr>
        <w:t>See</w:t>
      </w:r>
      <w:r w:rsidR="00030024">
        <w:t xml:space="preserve"> </w:t>
      </w:r>
      <w:r w:rsidR="00030024">
        <w:rPr>
          <w:i/>
        </w:rPr>
        <w:t xml:space="preserve">infra </w:t>
      </w:r>
      <w:r w:rsidR="00030024">
        <w:t>note 69</w:t>
      </w:r>
      <w:r w:rsidRPr="00E856EA">
        <w:t>.</w:t>
      </w:r>
    </w:p>
  </w:footnote>
  <w:footnote w:id="69">
    <w:p w:rsidR="00BA4AEE" w:rsidRPr="00E856EA" w:rsidRDefault="00BA4AEE" w:rsidP="00E856EA">
      <w:pPr>
        <w:pStyle w:val="FootnoteText"/>
        <w:spacing w:before="60" w:after="60"/>
        <w:ind w:right="0"/>
      </w:pPr>
      <w:r w:rsidRPr="00E856EA">
        <w:rPr>
          <w:rStyle w:val="FootnoteReference"/>
        </w:rPr>
        <w:footnoteRef/>
      </w:r>
      <w:r w:rsidRPr="00E856EA">
        <w:t xml:space="preserve"> Complaint, Litigation Exhibit 12 (Buckley Dep.) at 91:11-91:22; </w:t>
      </w:r>
      <w:r w:rsidRPr="00E856EA">
        <w:rPr>
          <w:i/>
        </w:rPr>
        <w:t>see also</w:t>
      </w:r>
      <w:r w:rsidRPr="00E856EA">
        <w:t xml:space="preserve"> Reply at 16.  Notably, Sancom’s South Dakota Local Exchange Tariff also sets forth several rates and charges that apply to Sancom’s “customers,” including the “Local Number Portability Fee, 911 Service Surcharge, Universal Service Fee, Network Connectivity Fee, Telecom Relay Service Fee, Federal Excise Tax, State Sales Tax, City Sales Tax, City Franchise Fee.”  Joint Statement at 9; Local Exchange Tariff at Part II, Original Sheet 17.  [Redacted confidential information regarding Sancom’s unique billing arrangements with the Free Calling Companies.]</w:t>
      </w:r>
      <w:r>
        <w:t xml:space="preserve">  </w:t>
      </w:r>
      <w:r w:rsidRPr="00660D0B">
        <w:t>Joint Statement at 16.</w:t>
      </w:r>
    </w:p>
  </w:footnote>
  <w:footnote w:id="70">
    <w:p w:rsidR="00BA4AEE" w:rsidRPr="00E856EA" w:rsidRDefault="00BA4AEE" w:rsidP="00E856EA">
      <w:pPr>
        <w:pStyle w:val="FootnoteText"/>
        <w:spacing w:before="60" w:after="60"/>
      </w:pPr>
      <w:r w:rsidRPr="00E856EA">
        <w:rPr>
          <w:rStyle w:val="FootnoteReference"/>
        </w:rPr>
        <w:footnoteRef/>
      </w:r>
      <w:r w:rsidRPr="00E856EA">
        <w:t xml:space="preserve"> Joint Statement at 11-12, 15-16; Bortnem Dep. at 75:6-19, 118:21-119:4; Thompson Dep. at 95:13-96:24, 177:3-18.</w:t>
      </w:r>
      <w:r w:rsidRPr="00E856EA">
        <w:rPr>
          <w:iCs/>
          <w:snapToGrid w:val="0"/>
          <w:kern w:val="28"/>
        </w:rPr>
        <w:t xml:space="preserve">  </w:t>
      </w:r>
      <w:r w:rsidRPr="00E856EA">
        <w:t>[Redacted confidential information regarding Sancom’s unique business relationships with the Free Calling Companies.]</w:t>
      </w:r>
    </w:p>
  </w:footnote>
  <w:footnote w:id="71">
    <w:p w:rsidR="00BA4AEE" w:rsidRPr="00E856EA" w:rsidRDefault="00BA4AEE" w:rsidP="00E856EA">
      <w:pPr>
        <w:pStyle w:val="FootnoteText"/>
        <w:spacing w:before="60" w:after="60"/>
      </w:pPr>
      <w:r w:rsidRPr="00E856EA">
        <w:rPr>
          <w:rStyle w:val="FootnoteReference"/>
        </w:rPr>
        <w:footnoteRef/>
      </w:r>
      <w:r w:rsidRPr="00E856EA">
        <w:t xml:space="preserve"> Answer at 14-15, para. 30; Answer, Legal Analysis at 26-27; Joint Statement, Facts Proffered by Sancom and Disputed by Qwest at 30-31.</w:t>
      </w:r>
    </w:p>
  </w:footnote>
  <w:footnote w:id="72">
    <w:p w:rsidR="00BA4AEE" w:rsidRPr="00E856EA" w:rsidRDefault="00BA4AEE" w:rsidP="00E856EA">
      <w:pPr>
        <w:pStyle w:val="FootnoteText"/>
        <w:spacing w:before="60" w:after="60"/>
        <w:rPr>
          <w:b/>
        </w:rPr>
      </w:pPr>
      <w:r w:rsidRPr="00E856EA">
        <w:rPr>
          <w:rStyle w:val="FootnoteReference"/>
        </w:rPr>
        <w:footnoteRef/>
      </w:r>
      <w:r w:rsidRPr="00E856EA">
        <w:t xml:space="preserve"> Reply at 12-13; Thompson Dep. at 54:25-55:22 [Redacted confidential information regarding Sancom’s unique business relationships with the Free Calling Companies.]; </w:t>
      </w:r>
      <w:r w:rsidRPr="00E856EA">
        <w:rPr>
          <w:i/>
        </w:rPr>
        <w:t>see also id.</w:t>
      </w:r>
      <w:r w:rsidRPr="00E856EA">
        <w:t xml:space="preserve"> at 35:19-36:5, 136:13-137:3; Complaint, Litigation Exhibit 10 (Rohead Dep.) at 87:19-90:7.</w:t>
      </w:r>
    </w:p>
  </w:footnote>
  <w:footnote w:id="73">
    <w:p w:rsidR="00BA4AEE" w:rsidRPr="00E856EA" w:rsidRDefault="00BA4AEE" w:rsidP="00E856EA">
      <w:pPr>
        <w:pStyle w:val="FootnoteText"/>
        <w:spacing w:before="60" w:after="60"/>
        <w:ind w:right="0"/>
        <w:rPr>
          <w:b/>
        </w:rPr>
      </w:pPr>
      <w:r w:rsidRPr="00E856EA">
        <w:rPr>
          <w:rStyle w:val="FootnoteReference"/>
        </w:rPr>
        <w:footnoteRef/>
      </w:r>
      <w:r w:rsidRPr="00E856EA">
        <w:t xml:space="preserve"> Answer, Legal Analysis at 25-29.</w:t>
      </w:r>
    </w:p>
  </w:footnote>
  <w:footnote w:id="74">
    <w:p w:rsidR="00BA4AEE" w:rsidRPr="00E856EA" w:rsidRDefault="00BA4AEE" w:rsidP="00E856EA">
      <w:pPr>
        <w:pStyle w:val="FootnoteText"/>
        <w:spacing w:before="60" w:after="60"/>
      </w:pPr>
      <w:r w:rsidRPr="00E856EA">
        <w:rPr>
          <w:rStyle w:val="FootnoteReference"/>
        </w:rPr>
        <w:footnoteRef/>
      </w:r>
      <w:r w:rsidRPr="00E856EA">
        <w:t xml:space="preserve"> Thompson Dep. at 209.</w:t>
      </w:r>
    </w:p>
  </w:footnote>
  <w:footnote w:id="75">
    <w:p w:rsidR="00BA4AEE" w:rsidRPr="00E856EA" w:rsidRDefault="00BA4AEE" w:rsidP="00E856EA">
      <w:pPr>
        <w:pStyle w:val="FootnoteText"/>
        <w:spacing w:before="60" w:after="60"/>
      </w:pPr>
      <w:r w:rsidRPr="00E856EA">
        <w:rPr>
          <w:rStyle w:val="FootnoteReference"/>
        </w:rPr>
        <w:footnoteRef/>
      </w:r>
      <w:r w:rsidRPr="00E856EA">
        <w:t xml:space="preserve"> Bortnem Dep. at 44:5-44:11.</w:t>
      </w:r>
    </w:p>
  </w:footnote>
  <w:footnote w:id="76">
    <w:p w:rsidR="00BA4AEE" w:rsidRPr="00E856EA" w:rsidRDefault="00BA4AEE" w:rsidP="00E856EA">
      <w:pPr>
        <w:pStyle w:val="FootnoteText"/>
        <w:spacing w:before="60" w:after="60"/>
        <w:ind w:right="0"/>
        <w:rPr>
          <w:b/>
        </w:rPr>
      </w:pPr>
      <w:r w:rsidRPr="00E856EA">
        <w:rPr>
          <w:rStyle w:val="FootnoteReference"/>
        </w:rPr>
        <w:footnoteRef/>
      </w:r>
      <w:r w:rsidRPr="00E856EA">
        <w:t xml:space="preserve"> Bortnem Dep. at 119:5-10.</w:t>
      </w:r>
    </w:p>
  </w:footnote>
  <w:footnote w:id="77">
    <w:p w:rsidR="00BA4AEE" w:rsidRPr="00E856EA" w:rsidRDefault="00BA4AEE" w:rsidP="00E856EA">
      <w:pPr>
        <w:pStyle w:val="FootnoteText"/>
        <w:spacing w:before="60" w:after="60"/>
      </w:pPr>
      <w:r w:rsidRPr="00E856EA">
        <w:rPr>
          <w:rStyle w:val="FootnoteReference"/>
        </w:rPr>
        <w:footnoteRef/>
      </w:r>
      <w:r w:rsidRPr="00E856EA">
        <w:t xml:space="preserve"> Calabro Dep. at 135-37.  </w:t>
      </w:r>
      <w:r w:rsidRPr="00E856EA">
        <w:rPr>
          <w:i/>
        </w:rPr>
        <w:t>See also id.</w:t>
      </w:r>
      <w:r w:rsidRPr="00E856EA">
        <w:t xml:space="preserve"> at 129 [Redacted confidential information regarding Sancom’s unique business relationship with Free Conferencing.]; </w:t>
      </w:r>
      <w:smartTag w:uri="urn:schemas-microsoft-com:office:smarttags" w:element="State">
        <w:smartTag w:uri="urn:schemas-microsoft-com:office:smarttags" w:element="place">
          <w:r w:rsidRPr="00E856EA">
            <w:rPr>
              <w:i/>
            </w:rPr>
            <w:t>Id.</w:t>
          </w:r>
        </w:smartTag>
      </w:smartTag>
      <w:r w:rsidRPr="00E856EA">
        <w:t xml:space="preserve"> at 139:11-12 [Redacted confidential information regarding Sancom’s unique business relationship with Free Conferencing.]</w:t>
      </w:r>
    </w:p>
  </w:footnote>
  <w:footnote w:id="78">
    <w:p w:rsidR="00BA4AEE" w:rsidRPr="00E856EA" w:rsidRDefault="00BA4AEE" w:rsidP="00E856EA">
      <w:pPr>
        <w:pStyle w:val="FootnoteText"/>
        <w:spacing w:before="60" w:after="60"/>
      </w:pPr>
      <w:r w:rsidRPr="00E856EA">
        <w:rPr>
          <w:rStyle w:val="FootnoteReference"/>
        </w:rPr>
        <w:footnoteRef/>
      </w:r>
      <w:r w:rsidRPr="00E856EA">
        <w:t xml:space="preserve"> Joint Statement at 18; Complaint at 41-42, paras. 62-63; Reply at 34-35.</w:t>
      </w:r>
    </w:p>
  </w:footnote>
  <w:footnote w:id="79">
    <w:p w:rsidR="00BA4AEE" w:rsidRPr="00E856EA" w:rsidRDefault="00BA4AEE" w:rsidP="00E856EA">
      <w:pPr>
        <w:pStyle w:val="FootnoteText"/>
        <w:spacing w:before="60" w:after="60"/>
      </w:pPr>
      <w:r w:rsidRPr="00E856EA">
        <w:rPr>
          <w:rStyle w:val="FootnoteReference"/>
        </w:rPr>
        <w:footnoteRef/>
      </w:r>
      <w:r w:rsidRPr="00E856EA">
        <w:t xml:space="preserve"> Joint Statement at 18, para. 63.</w:t>
      </w:r>
    </w:p>
  </w:footnote>
  <w:footnote w:id="80">
    <w:p w:rsidR="00BA4AEE" w:rsidRPr="00E856EA" w:rsidRDefault="00BA4AEE" w:rsidP="00E856EA">
      <w:pPr>
        <w:pStyle w:val="FootnoteText"/>
        <w:spacing w:before="60" w:after="60"/>
      </w:pPr>
      <w:r w:rsidRPr="00E856EA">
        <w:rPr>
          <w:rStyle w:val="FootnoteReference"/>
        </w:rPr>
        <w:footnoteRef/>
      </w:r>
      <w:r w:rsidRPr="00E856EA">
        <w:t xml:space="preserve"> Joint Statement at 18.  The record further suggests that Sancom may have handled traffic relating to the Free Calling Companies differently from traffic relating to customers using Sancom’s tariffed services.  </w:t>
      </w:r>
      <w:r w:rsidRPr="00E856EA">
        <w:rPr>
          <w:i/>
        </w:rPr>
        <w:t>See Second Recon. Order</w:t>
      </w:r>
      <w:r w:rsidRPr="00E856EA">
        <w:t xml:space="preserve">, 24 FCC Rcd at 14806, para. 13 (as part of its conclusion that the conference calling companies were not “end users” under Farmers’ tariff, the Commission found that Farmers provided a unique routing arrangement to the conference calling companies).  </w:t>
      </w:r>
      <w:r w:rsidRPr="00660D0B">
        <w:t>Sancom’s agreements with the Free Calling Companies provide that the Free Calling Companies’ equipment will be placed in Sancom’s central office</w:t>
      </w:r>
      <w:r w:rsidRPr="00E856EA">
        <w:t xml:space="preserve"> (</w:t>
      </w:r>
      <w:r w:rsidRPr="00E856EA">
        <w:rPr>
          <w:i/>
        </w:rPr>
        <w:t xml:space="preserve">see </w:t>
      </w:r>
      <w:r w:rsidRPr="00E856EA">
        <w:t xml:space="preserve">Sancom-Free Conferencing Agreement at 1; Sancom-Ocean Bay Agreement at 1), and Sancom apparently furnished such collocations to the Free Calling Companies at no cost (Complaint, Litigation Exhibit 53, Plaintiff Sancom, Inc.’s First Supplemental Answers to Defendant’s Second Set of Interrogatories, at 7 (Answer to Interrogatory 16.1) (“[S]ancom cannot identify the precise amount of money Free Conferencing pays or Ocean Bay Marketing paid to Sancom for collocation.”)).  Sancom did not respond directly to Qwest’s assertion that the Free Calling Companies were the only entities served by placing their equipment in Sancom’s central office, as opposed to being served by a facility “extending </w:t>
      </w:r>
      <w:r w:rsidRPr="00E856EA">
        <w:rPr>
          <w:i/>
        </w:rPr>
        <w:t>from the Sancom central office</w:t>
      </w:r>
      <w:r w:rsidRPr="00E856EA">
        <w:t xml:space="preserve"> to the customer’s location ….”  Complaint at 33-34, para. 47 (emphasis added).  [Redacted confidential information regarding Sancom’s relationships with its customers.]  Answer at 24, para. 47.</w:t>
      </w:r>
    </w:p>
  </w:footnote>
  <w:footnote w:id="81">
    <w:p w:rsidR="00BA4AEE" w:rsidRPr="00E856EA" w:rsidRDefault="00BA4AEE" w:rsidP="00E856EA">
      <w:pPr>
        <w:pStyle w:val="FootnoteText"/>
        <w:spacing w:before="60" w:after="60"/>
      </w:pPr>
      <w:r w:rsidRPr="00E856EA">
        <w:rPr>
          <w:rStyle w:val="FootnoteReference"/>
        </w:rPr>
        <w:footnoteRef/>
      </w:r>
      <w:r w:rsidRPr="00E856EA">
        <w:t xml:space="preserve"> </w:t>
      </w:r>
      <w:r w:rsidRPr="00E856EA">
        <w:rPr>
          <w:i/>
        </w:rPr>
        <w:t>See</w:t>
      </w:r>
      <w:r w:rsidRPr="00E856EA">
        <w:t xml:space="preserve">, </w:t>
      </w:r>
      <w:r w:rsidRPr="00E856EA">
        <w:rPr>
          <w:i/>
        </w:rPr>
        <w:t>e.g</w:t>
      </w:r>
      <w:r w:rsidRPr="00E856EA">
        <w:t xml:space="preserve">., </w:t>
      </w:r>
      <w:r w:rsidRPr="00E856EA">
        <w:rPr>
          <w:i/>
        </w:rPr>
        <w:t>U.S. Telecom Ass’n v. FCC</w:t>
      </w:r>
      <w:r w:rsidRPr="00E856EA">
        <w:t>, 295 F.3d 1326, 1329 (D.C. Cir. 2002).</w:t>
      </w:r>
    </w:p>
  </w:footnote>
  <w:footnote w:id="82">
    <w:p w:rsidR="00BA4AEE" w:rsidRPr="00E856EA" w:rsidRDefault="00BA4AEE" w:rsidP="00E856EA">
      <w:pPr>
        <w:pStyle w:val="FootnoteText"/>
        <w:spacing w:before="60" w:after="60"/>
        <w:ind w:right="0"/>
      </w:pPr>
      <w:r w:rsidRPr="00E856EA">
        <w:rPr>
          <w:rStyle w:val="FootnoteReference"/>
        </w:rPr>
        <w:footnoteRef/>
      </w:r>
      <w:r w:rsidRPr="00E856EA">
        <w:t xml:space="preserve"> </w:t>
      </w:r>
      <w:r w:rsidRPr="00E856EA">
        <w:rPr>
          <w:i/>
        </w:rPr>
        <w:t>Compare</w:t>
      </w:r>
      <w:r w:rsidRPr="00E856EA">
        <w:t xml:space="preserve"> Joint Statement at 14, para. 46 (</w:t>
      </w:r>
      <w:r w:rsidRPr="00E856EA">
        <w:rPr>
          <w:iCs/>
        </w:rPr>
        <w:t xml:space="preserve">“Sancom never entered into an arrangement with any other service provider similar to its agreements with Free Conferencing and Ocean Bay.”) </w:t>
      </w:r>
      <w:r w:rsidRPr="00E856EA">
        <w:rPr>
          <w:i/>
          <w:iCs/>
        </w:rPr>
        <w:t xml:space="preserve">with </w:t>
      </w:r>
      <w:r w:rsidRPr="00E856EA">
        <w:t>Reply, FCC Exhibit 19 (email from Don Robertson, Sancom Operations Manager, to Ryan Thompson, Sancom General Manager (dated June 30, 2006) [Redacted confidential information regarding Sancom’s exclusive relationships with the Free Calling Companies.]; Reply at 21; Joint Statement at 12.</w:t>
      </w:r>
    </w:p>
  </w:footnote>
  <w:footnote w:id="83">
    <w:p w:rsidR="00BA4AEE" w:rsidRPr="00E856EA" w:rsidRDefault="00BA4AEE" w:rsidP="00E856EA">
      <w:pPr>
        <w:pStyle w:val="FootnoteText"/>
        <w:spacing w:before="60" w:after="60"/>
      </w:pPr>
      <w:r w:rsidRPr="00E856EA">
        <w:rPr>
          <w:rStyle w:val="FootnoteReference"/>
        </w:rPr>
        <w:footnoteRef/>
      </w:r>
      <w:r w:rsidRPr="00E856EA">
        <w:t xml:space="preserve"> [Redacted confidential information regarding Sancom’s exclusive relationships with the Free Calling Companies.]  Complaint, Litigation Exhibit 57, at 2 (email from Don Robertson, Sancom Operations Manager to Dave Erickson, President, Free Conferencing (dated Sept. 20, 2005)); Reply at 21; Joint Statement at 12.  Later, in April 2007, when an entity that competes with Free Conferencing contacted Sancom about service, Sancom replied that it was out of capacity, even though no one at Sancom actually checked whether there was available capacity.  Answer at 20-21, para. 38 (admitting that Sancom did not check whether it had capacity); Reply at 19-20; Joint Statement at 12.  [Redacted confidential information regarding Sancom’s exclusive relationships with the Free Calling Companies.]  Complaint at 30, para. 40 (citing Rohead Dep. at 91:4-16); Answer at 22, para. 40.</w:t>
      </w:r>
    </w:p>
  </w:footnote>
  <w:footnote w:id="84">
    <w:p w:rsidR="00BA4AEE" w:rsidRPr="00660D0B" w:rsidRDefault="00BA4AEE" w:rsidP="00332AF3">
      <w:pPr>
        <w:pStyle w:val="ParaNum"/>
        <w:numPr>
          <w:ilvl w:val="0"/>
          <w:numId w:val="0"/>
        </w:numPr>
        <w:spacing w:before="60" w:after="60"/>
        <w:jc w:val="left"/>
        <w:rPr>
          <w:sz w:val="20"/>
        </w:rPr>
      </w:pPr>
      <w:r w:rsidRPr="00660D0B">
        <w:rPr>
          <w:rStyle w:val="FootnoteReference"/>
        </w:rPr>
        <w:footnoteRef/>
      </w:r>
      <w:r w:rsidRPr="00660D0B">
        <w:rPr>
          <w:sz w:val="20"/>
        </w:rPr>
        <w:t xml:space="preserve"> </w:t>
      </w:r>
      <w:r w:rsidRPr="00660D0B">
        <w:rPr>
          <w:snapToGrid/>
          <w:kern w:val="0"/>
          <w:sz w:val="20"/>
        </w:rPr>
        <w:t>The Sancom-Free Conferencing Agreement confidentiality provision states that “[d]uring the term of this Agreement and for a period of three (3) years thereafter, neither [Free Conferencing] nor SANCOM shall disclose any terms of this Agreement, including pricing, or any other confidential information of the other Pa</w:t>
      </w:r>
      <w:bookmarkStart w:id="31" w:name="OLE_LINK13"/>
      <w:bookmarkStart w:id="32" w:name="OLE_LINK14"/>
      <w:r w:rsidRPr="00660D0B">
        <w:rPr>
          <w:snapToGrid/>
          <w:kern w:val="0"/>
          <w:sz w:val="20"/>
        </w:rPr>
        <w:t xml:space="preserve">rty.”  </w:t>
      </w:r>
      <w:r w:rsidRPr="00660D0B">
        <w:rPr>
          <w:sz w:val="20"/>
        </w:rPr>
        <w:t>Sancom-Free Conferencing Agreement</w:t>
      </w:r>
      <w:bookmarkEnd w:id="31"/>
      <w:bookmarkEnd w:id="32"/>
      <w:r w:rsidRPr="00660D0B">
        <w:rPr>
          <w:sz w:val="20"/>
        </w:rPr>
        <w:t xml:space="preserve"> at 2.</w:t>
      </w:r>
      <w:r w:rsidRPr="00660D0B">
        <w:rPr>
          <w:snapToGrid/>
          <w:kern w:val="0"/>
          <w:sz w:val="20"/>
        </w:rPr>
        <w:t xml:space="preserve">  Similarly, the Sancom-Ocean Bay Agreement states that </w:t>
      </w:r>
      <w:r w:rsidRPr="00660D0B">
        <w:rPr>
          <w:sz w:val="20"/>
        </w:rPr>
        <w:t>“</w:t>
      </w:r>
      <w:r w:rsidRPr="00660D0B">
        <w:rPr>
          <w:snapToGrid/>
          <w:kern w:val="0"/>
          <w:sz w:val="20"/>
        </w:rPr>
        <w:t xml:space="preserve">[d]uring the term of this Agreement and for a period of three (3) years thereafter, neither Ocean Bay </w:t>
      </w:r>
      <w:r w:rsidRPr="00660D0B">
        <w:rPr>
          <w:rFonts w:cs="TimesNewRoman"/>
          <w:snapToGrid/>
          <w:kern w:val="0"/>
          <w:sz w:val="20"/>
        </w:rPr>
        <w:t>Marketing nor [Sancom] shall disclose any terms of this Agreement, including pricing or any</w:t>
      </w:r>
      <w:r w:rsidRPr="00660D0B">
        <w:rPr>
          <w:sz w:val="20"/>
        </w:rPr>
        <w:t xml:space="preserve"> </w:t>
      </w:r>
      <w:r w:rsidRPr="00660D0B">
        <w:rPr>
          <w:rFonts w:cs="TimesNewRoman"/>
          <w:snapToGrid/>
          <w:kern w:val="0"/>
          <w:sz w:val="20"/>
        </w:rPr>
        <w:t xml:space="preserve">other confidential information of the other Party.”  </w:t>
      </w:r>
      <w:r w:rsidRPr="00660D0B">
        <w:rPr>
          <w:sz w:val="20"/>
        </w:rPr>
        <w:t>Sancom-Ocean Bay Agreement at 2.</w:t>
      </w:r>
    </w:p>
  </w:footnote>
  <w:footnote w:id="85">
    <w:p w:rsidR="00BA4AEE" w:rsidRPr="00E856EA" w:rsidRDefault="00BA4AEE" w:rsidP="00E856EA">
      <w:pPr>
        <w:pStyle w:val="FootnoteText"/>
        <w:spacing w:before="60" w:after="60"/>
        <w:ind w:right="0"/>
      </w:pPr>
      <w:r w:rsidRPr="00E856EA">
        <w:rPr>
          <w:rStyle w:val="FootnoteReference"/>
        </w:rPr>
        <w:footnoteRef/>
      </w:r>
      <w:r w:rsidRPr="00E856EA">
        <w:t xml:space="preserve"> Rohead Dep. at 91:4-12 [Redacted confidential information regarding Sancom’s exclusive relationships with the Free Calling Companies.]</w:t>
      </w:r>
    </w:p>
  </w:footnote>
  <w:footnote w:id="86">
    <w:p w:rsidR="00BA4AEE" w:rsidRPr="00E856EA" w:rsidRDefault="00BA4AEE" w:rsidP="00E856EA">
      <w:pPr>
        <w:pStyle w:val="FootnoteText"/>
        <w:spacing w:before="60" w:after="60"/>
      </w:pPr>
      <w:r w:rsidRPr="00E856EA">
        <w:rPr>
          <w:rStyle w:val="FootnoteReference"/>
        </w:rPr>
        <w:footnoteRef/>
      </w:r>
      <w:r w:rsidRPr="00E856EA">
        <w:t xml:space="preserve"> Answer at 31-33.</w:t>
      </w:r>
    </w:p>
  </w:footnote>
  <w:footnote w:id="87">
    <w:p w:rsidR="00BA4AEE" w:rsidRPr="00E856EA" w:rsidRDefault="00BA4AEE" w:rsidP="00E856EA">
      <w:pPr>
        <w:pStyle w:val="FootnoteText"/>
        <w:spacing w:before="60" w:after="60"/>
      </w:pPr>
      <w:r w:rsidRPr="00E856EA">
        <w:rPr>
          <w:rStyle w:val="FootnoteReference"/>
        </w:rPr>
        <w:footnoteRef/>
      </w:r>
      <w:r w:rsidRPr="00E856EA">
        <w:t xml:space="preserve"> </w:t>
      </w:r>
      <w:r w:rsidRPr="00E856EA">
        <w:rPr>
          <w:i/>
        </w:rPr>
        <w:t>See</w:t>
      </w:r>
      <w:r w:rsidRPr="00E856EA">
        <w:t xml:space="preserve"> Complaint at 30, para. 40 (citing Rohead Dep. at 91:4-16) [Redacted confidential information regarding Sancom’s exclusive relationships </w:t>
      </w:r>
      <w:r>
        <w:t>with the Free Calling Companies.</w:t>
      </w:r>
      <w:r w:rsidRPr="00E856EA">
        <w:t>]; Answer at 22, para. 40.</w:t>
      </w:r>
    </w:p>
  </w:footnote>
  <w:footnote w:id="88">
    <w:p w:rsidR="00BA4AEE" w:rsidRPr="00E856EA" w:rsidRDefault="00BA4AEE" w:rsidP="00E856EA">
      <w:pPr>
        <w:pStyle w:val="FootnoteText"/>
        <w:spacing w:before="60" w:after="60"/>
      </w:pPr>
      <w:r w:rsidRPr="00E856EA">
        <w:rPr>
          <w:rStyle w:val="FootnoteReference"/>
        </w:rPr>
        <w:footnoteRef/>
      </w:r>
      <w:r w:rsidRPr="00E856EA">
        <w:t xml:space="preserve"> </w:t>
      </w:r>
      <w:r w:rsidRPr="00E856EA">
        <w:rPr>
          <w:i/>
        </w:rPr>
        <w:t>See Qwest v. Farmers</w:t>
      </w:r>
      <w:r w:rsidRPr="00E856EA">
        <w:t>, 24 FCC Rcd at 14807, para. 14 (finding that the exclusivity clauses in the parties’ agreements were “antithetical to the notion of tariffed service” and that, by turning away customers seeking similar arrangements, the arrangements between Farmers and the conference calling companies were, in practice, exclusive).</w:t>
      </w:r>
    </w:p>
  </w:footnote>
  <w:footnote w:id="89">
    <w:p w:rsidR="00BA4AEE" w:rsidRPr="00E856EA" w:rsidRDefault="00BA4AEE" w:rsidP="00E856EA">
      <w:pPr>
        <w:pStyle w:val="FootnoteText"/>
        <w:spacing w:before="60" w:after="60"/>
        <w:ind w:right="0"/>
        <w:rPr>
          <w:b/>
        </w:rPr>
      </w:pPr>
      <w:r w:rsidRPr="00E856EA">
        <w:rPr>
          <w:rStyle w:val="FootnoteReference"/>
        </w:rPr>
        <w:footnoteRef/>
      </w:r>
      <w:r w:rsidRPr="00E856EA">
        <w:t xml:space="preserve"> Answer, Legal Analysis at 43-44.</w:t>
      </w:r>
    </w:p>
  </w:footnote>
  <w:footnote w:id="90">
    <w:p w:rsidR="00BA4AEE" w:rsidRPr="00E856EA" w:rsidRDefault="00BA4AEE" w:rsidP="00E856EA">
      <w:pPr>
        <w:pStyle w:val="FootnoteText"/>
        <w:spacing w:before="60" w:after="60"/>
      </w:pPr>
      <w:r w:rsidRPr="00E856EA">
        <w:rPr>
          <w:rStyle w:val="FootnoteReference"/>
        </w:rPr>
        <w:footnoteRef/>
      </w:r>
      <w:r w:rsidRPr="00E856EA">
        <w:t xml:space="preserve"> Tariff § 2.6.</w:t>
      </w:r>
    </w:p>
  </w:footnote>
  <w:footnote w:id="91">
    <w:p w:rsidR="00BA4AEE" w:rsidRPr="00660D0B" w:rsidRDefault="00BA4AEE" w:rsidP="00332AF3">
      <w:pPr>
        <w:pStyle w:val="FootnoteText"/>
        <w:spacing w:before="60" w:after="60"/>
      </w:pPr>
      <w:r w:rsidRPr="00660D0B">
        <w:rPr>
          <w:rStyle w:val="FootnoteReference"/>
        </w:rPr>
        <w:footnoteRef/>
      </w:r>
      <w:r w:rsidRPr="00660D0B">
        <w:t xml:space="preserve"> Sancom-Free Conferencing Agreement at 1-4; </w:t>
      </w:r>
      <w:smartTag w:uri="urn:schemas-microsoft-com:office:smarttags" w:element="place">
        <w:smartTag w:uri="urn:schemas-microsoft-com:office:smarttags" w:element="PlaceName">
          <w:r w:rsidRPr="00660D0B">
            <w:t>Sancom-Ocean</w:t>
          </w:r>
        </w:smartTag>
        <w:r w:rsidRPr="00660D0B">
          <w:t xml:space="preserve"> </w:t>
        </w:r>
        <w:smartTag w:uri="urn:schemas-microsoft-com:office:smarttags" w:element="PlaceType">
          <w:r w:rsidRPr="00660D0B">
            <w:t>Bay</w:t>
          </w:r>
        </w:smartTag>
      </w:smartTag>
      <w:r w:rsidRPr="00660D0B">
        <w:t xml:space="preserve"> Agreement at 1-4.  Complaint at 40, para. 59; Reply at 33-34.</w:t>
      </w:r>
    </w:p>
  </w:footnote>
  <w:footnote w:id="92">
    <w:p w:rsidR="00BA4AEE" w:rsidRPr="00E856EA" w:rsidRDefault="00BA4AEE" w:rsidP="00E856EA">
      <w:pPr>
        <w:pStyle w:val="FootnoteText"/>
        <w:spacing w:before="60" w:after="60"/>
      </w:pPr>
      <w:r w:rsidRPr="00E856EA">
        <w:rPr>
          <w:rStyle w:val="FootnoteReference"/>
        </w:rPr>
        <w:footnoteRef/>
      </w:r>
      <w:r w:rsidRPr="00E856EA">
        <w:t xml:space="preserve"> </w:t>
      </w:r>
      <w:r w:rsidRPr="00E856EA">
        <w:rPr>
          <w:iCs/>
        </w:rPr>
        <w:t>Answer, Legal Analysis at 33-34.</w:t>
      </w:r>
    </w:p>
  </w:footnote>
  <w:footnote w:id="93">
    <w:p w:rsidR="00BA4AEE" w:rsidRPr="00E856EA" w:rsidRDefault="00BA4AEE" w:rsidP="00E856EA">
      <w:pPr>
        <w:pStyle w:val="FootnoteText"/>
        <w:spacing w:before="60" w:after="60"/>
      </w:pPr>
      <w:r w:rsidRPr="00E856EA">
        <w:rPr>
          <w:rStyle w:val="FootnoteReference"/>
        </w:rPr>
        <w:footnoteRef/>
      </w:r>
      <w:r w:rsidRPr="00E856EA">
        <w:t xml:space="preserve"> In 1997, the Commission examined whether to “require any non-ILEC providers of interstate exchange access services subject to any degree of tariff forbearance to make rates available to the Commission and to interested persons upon request.”  </w:t>
      </w:r>
      <w:r w:rsidRPr="00E856EA">
        <w:rPr>
          <w:i/>
        </w:rPr>
        <w:t>Hyperion Telecommunications, Inc. Petition Requesting Forbearance</w:t>
      </w:r>
      <w:r w:rsidRPr="00E856EA">
        <w:t>, Memorandum Opinion and Order and Notice of Proposed Rulemaking, 12 FCC Rcd 8596, 8613, para. 33 (1997) (granting “permissive detariffing for provision of interstate exchange access services by providers other than the incumbent local exchange carrier”).</w:t>
      </w:r>
    </w:p>
  </w:footnote>
  <w:footnote w:id="94">
    <w:p w:rsidR="00BA4AEE" w:rsidRPr="00E856EA" w:rsidRDefault="00BA4AEE" w:rsidP="00E856EA">
      <w:pPr>
        <w:pStyle w:val="FootnoteText"/>
        <w:spacing w:before="60" w:after="60"/>
      </w:pPr>
      <w:r w:rsidRPr="00E856EA">
        <w:rPr>
          <w:rStyle w:val="FootnoteReference"/>
        </w:rPr>
        <w:footnoteRef/>
      </w:r>
      <w:r w:rsidRPr="00E856EA">
        <w:t xml:space="preserve"> Sancom cites no precedent (nor are we aware of any) to support its argument that, because it complies with </w:t>
      </w:r>
      <w:smartTag w:uri="urn:schemas-microsoft-com:office:smarttags" w:element="State">
        <w:smartTag w:uri="urn:schemas-microsoft-com:office:smarttags" w:element="place">
          <w:r w:rsidRPr="00E856EA">
            <w:t>South Dakota</w:t>
          </w:r>
        </w:smartTag>
      </w:smartTag>
      <w:r w:rsidRPr="00E856EA">
        <w:t xml:space="preserve">’s legal requirements for </w:t>
      </w:r>
      <w:r w:rsidRPr="00E856EA">
        <w:rPr>
          <w:i/>
        </w:rPr>
        <w:t>intrastate</w:t>
      </w:r>
      <w:r w:rsidRPr="00E856EA">
        <w:t xml:space="preserve"> tariff filing, Sancom’s </w:t>
      </w:r>
      <w:r w:rsidRPr="00E856EA">
        <w:rPr>
          <w:i/>
        </w:rPr>
        <w:t>interstate</w:t>
      </w:r>
      <w:r w:rsidRPr="00E856EA">
        <w:t xml:space="preserve"> access billings are lawful.  Answer at 34-35.  We also find Sancom’s argument regarding the reasonableness of its tariffed rates, which are not at issue in this proceeding, to be misplaced.  </w:t>
      </w:r>
      <w:r w:rsidRPr="00E856EA">
        <w:rPr>
          <w:i/>
        </w:rPr>
        <w:t>See</w:t>
      </w:r>
      <w:r w:rsidRPr="00E856EA">
        <w:t xml:space="preserve"> Answer at 12-20.</w:t>
      </w:r>
    </w:p>
  </w:footnote>
  <w:footnote w:id="95">
    <w:p w:rsidR="00BA4AEE" w:rsidRPr="00E856EA" w:rsidRDefault="00BA4AEE" w:rsidP="00E856EA">
      <w:pPr>
        <w:pStyle w:val="ParaNum"/>
        <w:numPr>
          <w:ilvl w:val="0"/>
          <w:numId w:val="0"/>
        </w:numPr>
        <w:spacing w:before="60" w:after="60"/>
        <w:jc w:val="left"/>
        <w:rPr>
          <w:sz w:val="20"/>
        </w:rPr>
      </w:pPr>
      <w:r w:rsidRPr="00E856EA">
        <w:rPr>
          <w:rStyle w:val="FootnoteReference"/>
        </w:rPr>
        <w:footnoteRef/>
      </w:r>
      <w:r w:rsidRPr="00E856EA">
        <w:rPr>
          <w:sz w:val="20"/>
        </w:rPr>
        <w:t xml:space="preserve"> </w:t>
      </w:r>
      <w:r w:rsidRPr="00E856EA">
        <w:rPr>
          <w:snapToGrid/>
          <w:kern w:val="0"/>
          <w:sz w:val="20"/>
        </w:rPr>
        <w:t>47 C.F.R. § 1.722(d).  Complaint at 11.</w:t>
      </w:r>
    </w:p>
  </w:footnote>
  <w:footnote w:id="96">
    <w:p w:rsidR="00761F58" w:rsidRDefault="00761F58" w:rsidP="00761F58">
      <w:pPr>
        <w:pStyle w:val="FootnoteText"/>
        <w:spacing w:before="60" w:after="60"/>
      </w:pPr>
      <w:r>
        <w:rPr>
          <w:rStyle w:val="FootnoteReference"/>
        </w:rPr>
        <w:footnoteRef/>
      </w:r>
      <w:r>
        <w:t xml:space="preserve"> 47 U.S.C. §§ 201, 203, 208.</w:t>
      </w:r>
    </w:p>
  </w:footnote>
  <w:footnote w:id="97">
    <w:p w:rsidR="00BA4AEE" w:rsidRPr="00E856EA" w:rsidRDefault="00BA4AEE" w:rsidP="00E856EA">
      <w:pPr>
        <w:jc w:val="left"/>
        <w:rPr>
          <w:sz w:val="20"/>
        </w:rPr>
      </w:pPr>
      <w:r w:rsidRPr="00E856EA">
        <w:rPr>
          <w:rStyle w:val="FootnoteReference"/>
        </w:rPr>
        <w:footnoteRef/>
      </w:r>
      <w:r w:rsidRPr="00E856EA">
        <w:rPr>
          <w:sz w:val="20"/>
        </w:rPr>
        <w:t xml:space="preserve"> </w:t>
      </w:r>
      <w:r w:rsidRPr="00E856EA">
        <w:rPr>
          <w:i/>
          <w:sz w:val="20"/>
        </w:rPr>
        <w:t>See</w:t>
      </w:r>
      <w:r w:rsidRPr="00E856EA">
        <w:rPr>
          <w:sz w:val="20"/>
        </w:rPr>
        <w:t xml:space="preserve"> Answer at 41 (Affirmative Defenses).  Sancom also argues, without support, that the “vast majority” of Qwest’s facts are irrelevant to the complaint and should be stricken from the record.  Answer, Legal Analysis at 10-11.  Namely, Sancom argues that any facts about the nature of its customers </w:t>
      </w:r>
      <w:r>
        <w:rPr>
          <w:sz w:val="20"/>
        </w:rPr>
        <w:t xml:space="preserve">(including the fact that </w:t>
      </w:r>
      <w:r w:rsidRPr="00E856EA">
        <w:rPr>
          <w:sz w:val="20"/>
        </w:rPr>
        <w:t>[redacted confidential information regarding Sancom’s agreements with the Free Calling Companies]</w:t>
      </w:r>
      <w:r>
        <w:rPr>
          <w:sz w:val="20"/>
        </w:rPr>
        <w:t>)</w:t>
      </w:r>
      <w:r w:rsidRPr="00E856EA">
        <w:rPr>
          <w:sz w:val="20"/>
        </w:rPr>
        <w:t xml:space="preserve"> are irrelevant.  We disagree and find tha</w:t>
      </w:r>
      <w:r>
        <w:rPr>
          <w:sz w:val="20"/>
        </w:rPr>
        <w:t>t the facts raised by Qwest are</w:t>
      </w:r>
      <w:r w:rsidRPr="00E856EA">
        <w:rPr>
          <w:sz w:val="20"/>
        </w:rPr>
        <w:t xml:space="preserve"> relevant to developing an understanding of the parties’ access stimulation arrangements.</w:t>
      </w:r>
    </w:p>
  </w:footnote>
  <w:footnote w:id="98">
    <w:p w:rsidR="00BA4AEE" w:rsidRPr="00E856EA" w:rsidRDefault="00BA4AEE" w:rsidP="00E856EA">
      <w:pPr>
        <w:pStyle w:val="FootnoteText"/>
        <w:spacing w:before="60" w:after="60"/>
        <w:ind w:right="0"/>
      </w:pPr>
      <w:r w:rsidRPr="00E856EA">
        <w:rPr>
          <w:rStyle w:val="FootnoteReference"/>
        </w:rPr>
        <w:footnoteRef/>
      </w:r>
      <w:r w:rsidRPr="00E856EA">
        <w:t xml:space="preserve"> </w:t>
      </w:r>
      <w:r w:rsidRPr="00E856EA">
        <w:rPr>
          <w:i/>
        </w:rPr>
        <w:t xml:space="preserve">See </w:t>
      </w:r>
      <w:bookmarkStart w:id="33" w:name="OLE_LINK27"/>
      <w:bookmarkStart w:id="34" w:name="OLE_LINK28"/>
      <w:r w:rsidRPr="00E856EA">
        <w:rPr>
          <w:i/>
        </w:rPr>
        <w:t>Marzec v. Power</w:t>
      </w:r>
      <w:bookmarkEnd w:id="33"/>
      <w:bookmarkEnd w:id="34"/>
      <w:r w:rsidRPr="00E856EA">
        <w:t xml:space="preserve">, Order, 15 FCC Rcd 4475, 4480 n.35 (2000) (stating that “the Commission has expressed doubt that the unclean hands defense is available in section 208 proceedings”) (citing </w:t>
      </w:r>
      <w:r w:rsidRPr="00E856EA">
        <w:rPr>
          <w:i/>
        </w:rPr>
        <w:t>AT&amp;T Corp. v. Bell Atlantic-Pennsylvania</w:t>
      </w:r>
      <w:r w:rsidRPr="00E856EA">
        <w:t>, Memorandum Opinion and Order, 14 FCC Rcd 556, 598 &amp; n.233 (1998)).</w:t>
      </w:r>
    </w:p>
  </w:footnote>
  <w:footnote w:id="99">
    <w:p w:rsidR="00BA4AEE" w:rsidRPr="00E856EA" w:rsidRDefault="00BA4AEE" w:rsidP="00E856EA">
      <w:pPr>
        <w:pStyle w:val="FootnoteText"/>
        <w:spacing w:before="60" w:after="60"/>
        <w:ind w:right="0"/>
      </w:pPr>
      <w:r w:rsidRPr="00E856EA">
        <w:rPr>
          <w:rStyle w:val="FootnoteReference"/>
        </w:rPr>
        <w:footnoteRef/>
      </w:r>
      <w:r w:rsidRPr="00E856EA">
        <w:t xml:space="preserve"> </w:t>
      </w:r>
      <w:r w:rsidRPr="00E856EA">
        <w:rPr>
          <w:i/>
        </w:rPr>
        <w:t>See</w:t>
      </w:r>
      <w:r w:rsidRPr="00E856EA">
        <w:t xml:space="preserve">, </w:t>
      </w:r>
      <w:r w:rsidRPr="00E856EA">
        <w:rPr>
          <w:i/>
        </w:rPr>
        <w:t>e.g</w:t>
      </w:r>
      <w:r w:rsidRPr="00E856EA">
        <w:t xml:space="preserve">., </w:t>
      </w:r>
      <w:r w:rsidRPr="00E856EA">
        <w:rPr>
          <w:i/>
        </w:rPr>
        <w:t>Marzec v. Power</w:t>
      </w:r>
      <w:r w:rsidRPr="00E856EA">
        <w:t xml:space="preserve">, 15 FCC Rcd at 4480 (rejecting unclean hands defense because the complainant’s alleged misconduct was “irrelevant” to the defendant’s violations); </w:t>
      </w:r>
      <w:r w:rsidRPr="00E856EA">
        <w:rPr>
          <w:i/>
        </w:rPr>
        <w:t>Wolff v. Westwood Management, LLC</w:t>
      </w:r>
      <w:r w:rsidRPr="00E856EA">
        <w:t xml:space="preserve">, 558 F.3d 517, 521 (D.C. Cir. 2009) (assertion of unclean hands as defense against claim that dispute is subject to arbitration cannot succeed where “[t]here is no allegation that appellees have unclean hands with respect to the agreement to arbitrate itself”); </w:t>
      </w:r>
      <w:r w:rsidRPr="00E856EA">
        <w:rPr>
          <w:i/>
        </w:rPr>
        <w:t>Sellar Agency Council, Inc. v. Kennedy Center for Real Estate Education, Inc.</w:t>
      </w:r>
      <w:r w:rsidRPr="00E856EA">
        <w:t>, 621 F.3d 981, 986 (9th Cir. 2010) (“It is fundamental to the operation of the [unclean hands] doctrine that the alleged misconduct by the party relate directly to the transaction concerning which the complaint is made.”) (citations and brackets omitted).</w:t>
      </w:r>
    </w:p>
  </w:footnote>
  <w:footnote w:id="100">
    <w:p w:rsidR="00761F58" w:rsidRDefault="00761F58" w:rsidP="00761F58">
      <w:pPr>
        <w:pStyle w:val="FootnoteText"/>
        <w:spacing w:before="60" w:after="60"/>
      </w:pPr>
      <w:r>
        <w:rPr>
          <w:rStyle w:val="FootnoteReference"/>
        </w:rPr>
        <w:footnoteRef/>
      </w:r>
      <w:r>
        <w:t xml:space="preserve"> 47 U.S.C. §§ 201(b), 203(c).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1D" w:rsidRDefault="00F47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EE" w:rsidRPr="002551FF" w:rsidRDefault="00BA4AEE" w:rsidP="00340DEE">
    <w:pPr>
      <w:tabs>
        <w:tab w:val="center" w:pos="4680"/>
        <w:tab w:val="right" w:pos="9360"/>
      </w:tabs>
      <w:suppressAutoHyphens/>
      <w:spacing w:line="227" w:lineRule="auto"/>
      <w:jc w:val="center"/>
      <w:rPr>
        <w:b/>
      </w:rPr>
    </w:pPr>
    <w:r>
      <w:rPr>
        <w:b/>
      </w:rPr>
      <w:tab/>
    </w:r>
    <w:r w:rsidR="00D813B2">
      <w:rPr>
        <w:b/>
      </w:rPr>
      <w:t>REDACTED</w:t>
    </w:r>
  </w:p>
  <w:p w:rsidR="00BA4AEE" w:rsidRDefault="00BA4AEE">
    <w:pPr>
      <w:tabs>
        <w:tab w:val="center" w:pos="4680"/>
        <w:tab w:val="right" w:pos="9360"/>
      </w:tabs>
      <w:suppressAutoHyphens/>
      <w:spacing w:line="227" w:lineRule="auto"/>
      <w:rPr>
        <w:b/>
        <w:spacing w:val="-2"/>
      </w:rPr>
    </w:pPr>
    <w:r>
      <w:rPr>
        <w:b/>
        <w:spacing w:val="-2"/>
      </w:rPr>
      <w:tab/>
      <w:t>Federal Communications Commission</w:t>
    </w:r>
    <w:r>
      <w:rPr>
        <w:b/>
        <w:spacing w:val="-2"/>
      </w:rPr>
      <w:tab/>
      <w:t>DA 1</w:t>
    </w:r>
    <w:r w:rsidR="005262ED">
      <w:rPr>
        <w:b/>
        <w:spacing w:val="-2"/>
      </w:rPr>
      <w:t>3-</w:t>
    </w:r>
    <w:r w:rsidR="00B41695">
      <w:rPr>
        <w:b/>
        <w:spacing w:val="-2"/>
      </w:rPr>
      <w:t>321</w:t>
    </w:r>
  </w:p>
  <w:p w:rsidR="00BA4AEE" w:rsidRDefault="00BA4AEE">
    <w:pPr>
      <w:tabs>
        <w:tab w:val="center" w:pos="4680"/>
        <w:tab w:val="right" w:pos="9360"/>
      </w:tabs>
      <w:suppressAutoHyphens/>
      <w:spacing w:line="227" w:lineRule="auto"/>
      <w:rPr>
        <w:b/>
        <w:spacing w:val="-2"/>
      </w:rPr>
    </w:pPr>
    <w:r>
      <w:rPr>
        <w:b/>
        <w:spacing w:val="-2"/>
      </w:rPr>
      <w:tab/>
    </w:r>
    <w:r>
      <w:rPr>
        <w:b/>
        <w:spacing w:val="-2"/>
      </w:rPr>
      <w:tab/>
    </w:r>
    <w:r w:rsidR="00FF3162">
      <w:rPr>
        <w:noProof/>
        <w:snapToGrid/>
      </w:rPr>
      <w:pict>
        <v:rect id="_x0000_s2049" style="position:absolute;left:0;text-align:left;margin-left:0;margin-top:0;width:468pt;height:.95pt;z-index:-251658752;mso-position-horizontal-relative:margin;mso-position-vertical-relative:text" o:allowincell="f" fillcolor="black" stroked="f" strokeweight=".05pt">
          <v:fill color2="black"/>
          <w10:wrap anchorx="margin"/>
        </v:rect>
      </w:pict>
    </w:r>
  </w:p>
  <w:p w:rsidR="00BA4AEE" w:rsidRPr="004B289B" w:rsidRDefault="00BA4AEE">
    <w:pPr>
      <w:tabs>
        <w:tab w:val="center" w:pos="4680"/>
        <w:tab w:val="right" w:pos="9360"/>
      </w:tabs>
      <w:suppressAutoHyphens/>
      <w:spacing w:line="227" w:lineRule="auto"/>
      <w:rPr>
        <w:b/>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EE" w:rsidRDefault="00BA4AEE" w:rsidP="00340DEE">
    <w:pPr>
      <w:pStyle w:val="Header"/>
      <w:pBdr>
        <w:bottom w:val="single" w:sz="12" w:space="0" w:color="auto"/>
      </w:pBdr>
    </w:pPr>
    <w:r>
      <w:tab/>
    </w:r>
    <w:r w:rsidR="00D813B2">
      <w:t>REDACTED</w:t>
    </w:r>
  </w:p>
  <w:p w:rsidR="00BA4AEE" w:rsidRDefault="00BA4AEE" w:rsidP="00340DEE">
    <w:pPr>
      <w:pStyle w:val="Header"/>
      <w:pBdr>
        <w:bottom w:val="single" w:sz="12" w:space="0" w:color="auto"/>
      </w:pBdr>
      <w:jc w:val="both"/>
    </w:pPr>
    <w:r>
      <w:tab/>
      <w:t>Federal Communications Commission</w:t>
    </w:r>
    <w:r>
      <w:tab/>
      <w:t>DA 1</w:t>
    </w:r>
    <w:r w:rsidR="005262ED">
      <w:t>3-</w:t>
    </w:r>
    <w:r w:rsidR="00B41695">
      <w:t>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0EA8A"/>
    <w:lvl w:ilvl="0">
      <w:start w:val="1"/>
      <w:numFmt w:val="decimal"/>
      <w:lvlText w:val="%1."/>
      <w:lvlJc w:val="left"/>
      <w:pPr>
        <w:tabs>
          <w:tab w:val="num" w:pos="1800"/>
        </w:tabs>
        <w:ind w:left="1800" w:hanging="360"/>
      </w:pPr>
    </w:lvl>
  </w:abstractNum>
  <w:abstractNum w:abstractNumId="1">
    <w:nsid w:val="FFFFFF7D"/>
    <w:multiLevelType w:val="singleLevel"/>
    <w:tmpl w:val="672C5CCE"/>
    <w:lvl w:ilvl="0">
      <w:start w:val="1"/>
      <w:numFmt w:val="decimal"/>
      <w:lvlText w:val="%1."/>
      <w:lvlJc w:val="left"/>
      <w:pPr>
        <w:tabs>
          <w:tab w:val="num" w:pos="1440"/>
        </w:tabs>
        <w:ind w:left="1440" w:hanging="360"/>
      </w:pPr>
    </w:lvl>
  </w:abstractNum>
  <w:abstractNum w:abstractNumId="2">
    <w:nsid w:val="FFFFFF7E"/>
    <w:multiLevelType w:val="singleLevel"/>
    <w:tmpl w:val="82FEBF86"/>
    <w:lvl w:ilvl="0">
      <w:start w:val="1"/>
      <w:numFmt w:val="decimal"/>
      <w:lvlText w:val="%1."/>
      <w:lvlJc w:val="left"/>
      <w:pPr>
        <w:tabs>
          <w:tab w:val="num" w:pos="1080"/>
        </w:tabs>
        <w:ind w:left="1080" w:hanging="360"/>
      </w:pPr>
    </w:lvl>
  </w:abstractNum>
  <w:abstractNum w:abstractNumId="3">
    <w:nsid w:val="FFFFFF7F"/>
    <w:multiLevelType w:val="singleLevel"/>
    <w:tmpl w:val="BAE21F70"/>
    <w:lvl w:ilvl="0">
      <w:start w:val="1"/>
      <w:numFmt w:val="decimal"/>
      <w:lvlText w:val="%1."/>
      <w:lvlJc w:val="left"/>
      <w:pPr>
        <w:tabs>
          <w:tab w:val="num" w:pos="720"/>
        </w:tabs>
        <w:ind w:left="720" w:hanging="360"/>
      </w:pPr>
    </w:lvl>
  </w:abstractNum>
  <w:abstractNum w:abstractNumId="4">
    <w:nsid w:val="FFFFFF80"/>
    <w:multiLevelType w:val="singleLevel"/>
    <w:tmpl w:val="F44A3D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6270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F03A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34DB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0EFFB0"/>
    <w:lvl w:ilvl="0">
      <w:start w:val="1"/>
      <w:numFmt w:val="decimal"/>
      <w:lvlText w:val="%1."/>
      <w:lvlJc w:val="left"/>
      <w:pPr>
        <w:tabs>
          <w:tab w:val="num" w:pos="360"/>
        </w:tabs>
        <w:ind w:left="360" w:hanging="360"/>
      </w:pPr>
    </w:lvl>
  </w:abstractNum>
  <w:abstractNum w:abstractNumId="9">
    <w:nsid w:val="FFFFFF89"/>
    <w:multiLevelType w:val="singleLevel"/>
    <w:tmpl w:val="9250896C"/>
    <w:lvl w:ilvl="0">
      <w:start w:val="1"/>
      <w:numFmt w:val="bullet"/>
      <w:lvlText w:val=""/>
      <w:lvlJc w:val="left"/>
      <w:pPr>
        <w:tabs>
          <w:tab w:val="num" w:pos="360"/>
        </w:tabs>
        <w:ind w:left="360" w:hanging="360"/>
      </w:pPr>
      <w:rPr>
        <w:rFonts w:ascii="Symbol" w:hAnsi="Symbol" w:hint="default"/>
      </w:rPr>
    </w:lvl>
  </w:abstractNum>
  <w:abstractNum w:abstractNumId="10">
    <w:nsid w:val="025A783C"/>
    <w:multiLevelType w:val="singleLevel"/>
    <w:tmpl w:val="A52053E0"/>
    <w:lvl w:ilvl="0">
      <w:start w:val="1"/>
      <w:numFmt w:val="decimal"/>
      <w:pStyle w:val="ParaNum"/>
      <w:lvlText w:val="%1."/>
      <w:lvlJc w:val="left"/>
      <w:pPr>
        <w:tabs>
          <w:tab w:val="num" w:pos="1260"/>
        </w:tabs>
        <w:ind w:left="180" w:firstLine="720"/>
      </w:pPr>
      <w:rPr>
        <w:b w:val="0"/>
        <w:i w:val="0"/>
      </w:rPr>
    </w:lvl>
  </w:abstractNum>
  <w:abstractNum w:abstractNumId="11">
    <w:nsid w:val="05344AB5"/>
    <w:multiLevelType w:val="hybridMultilevel"/>
    <w:tmpl w:val="88B85AE6"/>
    <w:lvl w:ilvl="0" w:tplc="0AF4A33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A80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7E06CBB"/>
    <w:multiLevelType w:val="multilevel"/>
    <w:tmpl w:val="949E0C1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530"/>
        </w:tabs>
        <w:ind w:left="153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E842AE9"/>
    <w:multiLevelType w:val="hybridMultilevel"/>
    <w:tmpl w:val="118434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0C3084"/>
    <w:multiLevelType w:val="hybridMultilevel"/>
    <w:tmpl w:val="0D2CBC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144540"/>
    <w:multiLevelType w:val="hybridMultilevel"/>
    <w:tmpl w:val="1820F3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0143E8"/>
    <w:multiLevelType w:val="multilevel"/>
    <w:tmpl w:val="949E0C1A"/>
    <w:lvl w:ilvl="0">
      <w:start w:val="1"/>
      <w:numFmt w:val="upperRoman"/>
      <w:lvlText w:val="%1."/>
      <w:lvlJc w:val="left"/>
      <w:pPr>
        <w:tabs>
          <w:tab w:val="num" w:pos="720"/>
        </w:tabs>
        <w:ind w:left="720" w:hanging="720"/>
      </w:pPr>
    </w:lvl>
    <w:lvl w:ilvl="1">
      <w:start w:val="1"/>
      <w:numFmt w:val="upperLetter"/>
      <w:lvlText w:val="%2."/>
      <w:lvlJc w:val="left"/>
      <w:pPr>
        <w:tabs>
          <w:tab w:val="num" w:pos="1530"/>
        </w:tabs>
        <w:ind w:left="1530" w:hanging="720"/>
      </w:pPr>
      <w:rPr>
        <w:b/>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37F86264"/>
    <w:multiLevelType w:val="multilevel"/>
    <w:tmpl w:val="949E0C1A"/>
    <w:lvl w:ilvl="0">
      <w:start w:val="1"/>
      <w:numFmt w:val="upperRoman"/>
      <w:lvlText w:val="%1."/>
      <w:lvlJc w:val="left"/>
      <w:pPr>
        <w:tabs>
          <w:tab w:val="num" w:pos="720"/>
        </w:tabs>
        <w:ind w:left="720" w:hanging="720"/>
      </w:pPr>
    </w:lvl>
    <w:lvl w:ilvl="1">
      <w:start w:val="1"/>
      <w:numFmt w:val="upperLetter"/>
      <w:lvlText w:val="%2."/>
      <w:lvlJc w:val="left"/>
      <w:pPr>
        <w:tabs>
          <w:tab w:val="num" w:pos="1530"/>
        </w:tabs>
        <w:ind w:left="1530" w:hanging="720"/>
      </w:pPr>
      <w:rPr>
        <w:b/>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1C26A3D"/>
    <w:multiLevelType w:val="hybridMultilevel"/>
    <w:tmpl w:val="DFB8494E"/>
    <w:lvl w:ilvl="0" w:tplc="4AF4F8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A44E7A"/>
    <w:multiLevelType w:val="hybridMultilevel"/>
    <w:tmpl w:val="C4CC8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034C4F"/>
    <w:multiLevelType w:val="hybridMultilevel"/>
    <w:tmpl w:val="5A5CF7E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E3A4268"/>
    <w:multiLevelType w:val="hybridMultilevel"/>
    <w:tmpl w:val="A4CA64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960748"/>
    <w:multiLevelType w:val="hybridMultilevel"/>
    <w:tmpl w:val="2AEAB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8E1E95"/>
    <w:multiLevelType w:val="singleLevel"/>
    <w:tmpl w:val="53263D76"/>
    <w:lvl w:ilvl="0">
      <w:start w:val="1"/>
      <w:numFmt w:val="decimal"/>
      <w:pStyle w:val="par1"/>
      <w:lvlText w:val="%1."/>
      <w:lvlJc w:val="left"/>
      <w:pPr>
        <w:tabs>
          <w:tab w:val="num" w:pos="1080"/>
        </w:tabs>
        <w:ind w:left="0" w:firstLine="720"/>
      </w:pPr>
      <w:rPr>
        <w:b w:val="0"/>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6">
    <w:nsid w:val="66C4360D"/>
    <w:multiLevelType w:val="multilevel"/>
    <w:tmpl w:val="3558EB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4AB0B99"/>
    <w:multiLevelType w:val="hybridMultilevel"/>
    <w:tmpl w:val="3558EB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4"/>
  </w:num>
  <w:num w:numId="4">
    <w:abstractNumId w:val="10"/>
  </w:num>
  <w:num w:numId="5">
    <w:abstractNumId w:val="10"/>
  </w:num>
  <w:num w:numId="6">
    <w:abstractNumId w:val="10"/>
  </w:num>
  <w:num w:numId="7">
    <w:abstractNumId w:val="25"/>
  </w:num>
  <w:num w:numId="8">
    <w:abstractNumId w:val="10"/>
  </w:num>
  <w:num w:numId="9">
    <w:abstractNumId w:val="10"/>
  </w:num>
  <w:num w:numId="10">
    <w:abstractNumId w:val="10"/>
  </w:num>
  <w:num w:numId="11">
    <w:abstractNumId w:val="10"/>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6"/>
  </w:num>
  <w:num w:numId="27">
    <w:abstractNumId w:val="14"/>
  </w:num>
  <w:num w:numId="28">
    <w:abstractNumId w:val="27"/>
  </w:num>
  <w:num w:numId="29">
    <w:abstractNumId w:val="26"/>
  </w:num>
  <w:num w:numId="30">
    <w:abstractNumId w:val="20"/>
  </w:num>
  <w:num w:numId="31">
    <w:abstractNumId w:val="21"/>
  </w:num>
  <w:num w:numId="32">
    <w:abstractNumId w:val="18"/>
  </w:num>
  <w:num w:numId="33">
    <w:abstractNumId w:val="17"/>
  </w:num>
  <w:num w:numId="34">
    <w:abstractNumId w:val="15"/>
  </w:num>
  <w:num w:numId="35">
    <w:abstractNumId w:val="22"/>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63B"/>
    <w:rsid w:val="00002D10"/>
    <w:rsid w:val="0000492E"/>
    <w:rsid w:val="00013913"/>
    <w:rsid w:val="00015B8A"/>
    <w:rsid w:val="00017581"/>
    <w:rsid w:val="00023CF3"/>
    <w:rsid w:val="000272FF"/>
    <w:rsid w:val="00030024"/>
    <w:rsid w:val="00032270"/>
    <w:rsid w:val="000344EB"/>
    <w:rsid w:val="0003728C"/>
    <w:rsid w:val="000433C9"/>
    <w:rsid w:val="000540CA"/>
    <w:rsid w:val="00063839"/>
    <w:rsid w:val="000643AF"/>
    <w:rsid w:val="00064AF5"/>
    <w:rsid w:val="000655C1"/>
    <w:rsid w:val="00070A9D"/>
    <w:rsid w:val="00075A44"/>
    <w:rsid w:val="0007628C"/>
    <w:rsid w:val="00086897"/>
    <w:rsid w:val="000928DD"/>
    <w:rsid w:val="0009641E"/>
    <w:rsid w:val="000B0A23"/>
    <w:rsid w:val="000B7F26"/>
    <w:rsid w:val="000D4309"/>
    <w:rsid w:val="000E3973"/>
    <w:rsid w:val="000E3B10"/>
    <w:rsid w:val="000E7321"/>
    <w:rsid w:val="000F0194"/>
    <w:rsid w:val="000F246C"/>
    <w:rsid w:val="000F3C38"/>
    <w:rsid w:val="000F53D6"/>
    <w:rsid w:val="000F64ED"/>
    <w:rsid w:val="00106867"/>
    <w:rsid w:val="00112E78"/>
    <w:rsid w:val="0011478C"/>
    <w:rsid w:val="00115635"/>
    <w:rsid w:val="00117DC8"/>
    <w:rsid w:val="00126951"/>
    <w:rsid w:val="001317E0"/>
    <w:rsid w:val="00140D71"/>
    <w:rsid w:val="00151059"/>
    <w:rsid w:val="001560DD"/>
    <w:rsid w:val="001648CD"/>
    <w:rsid w:val="00165253"/>
    <w:rsid w:val="00167535"/>
    <w:rsid w:val="00170398"/>
    <w:rsid w:val="0017263B"/>
    <w:rsid w:val="00175849"/>
    <w:rsid w:val="001771C9"/>
    <w:rsid w:val="001843EF"/>
    <w:rsid w:val="00184CC6"/>
    <w:rsid w:val="00187A34"/>
    <w:rsid w:val="00187D8A"/>
    <w:rsid w:val="00194837"/>
    <w:rsid w:val="001A02BB"/>
    <w:rsid w:val="001A0C61"/>
    <w:rsid w:val="001A51EB"/>
    <w:rsid w:val="001A646E"/>
    <w:rsid w:val="001A786A"/>
    <w:rsid w:val="001C3917"/>
    <w:rsid w:val="001C7BAF"/>
    <w:rsid w:val="001D2E81"/>
    <w:rsid w:val="001D50B4"/>
    <w:rsid w:val="001E31E3"/>
    <w:rsid w:val="001E57E7"/>
    <w:rsid w:val="001F2C7A"/>
    <w:rsid w:val="001F5115"/>
    <w:rsid w:val="0021132F"/>
    <w:rsid w:val="00217799"/>
    <w:rsid w:val="00220B29"/>
    <w:rsid w:val="00221A7B"/>
    <w:rsid w:val="002221D4"/>
    <w:rsid w:val="00230D26"/>
    <w:rsid w:val="002414B3"/>
    <w:rsid w:val="00242DD8"/>
    <w:rsid w:val="002475A3"/>
    <w:rsid w:val="00247AC6"/>
    <w:rsid w:val="002503FC"/>
    <w:rsid w:val="00253BA7"/>
    <w:rsid w:val="002551FF"/>
    <w:rsid w:val="002616EA"/>
    <w:rsid w:val="002643FA"/>
    <w:rsid w:val="002668A5"/>
    <w:rsid w:val="0027227C"/>
    <w:rsid w:val="0027455B"/>
    <w:rsid w:val="00274B66"/>
    <w:rsid w:val="00276CE7"/>
    <w:rsid w:val="0028440F"/>
    <w:rsid w:val="00284A40"/>
    <w:rsid w:val="002905D4"/>
    <w:rsid w:val="0029069E"/>
    <w:rsid w:val="002919E5"/>
    <w:rsid w:val="002A4DB8"/>
    <w:rsid w:val="002A535E"/>
    <w:rsid w:val="002C4088"/>
    <w:rsid w:val="002C502A"/>
    <w:rsid w:val="002D2628"/>
    <w:rsid w:val="002D6C99"/>
    <w:rsid w:val="002E35BC"/>
    <w:rsid w:val="002E784B"/>
    <w:rsid w:val="002F5C22"/>
    <w:rsid w:val="002F7CC7"/>
    <w:rsid w:val="00300138"/>
    <w:rsid w:val="0030166F"/>
    <w:rsid w:val="00304755"/>
    <w:rsid w:val="00304CD5"/>
    <w:rsid w:val="00307600"/>
    <w:rsid w:val="0032507A"/>
    <w:rsid w:val="00326533"/>
    <w:rsid w:val="00327938"/>
    <w:rsid w:val="00332AF3"/>
    <w:rsid w:val="00335C7D"/>
    <w:rsid w:val="00340DEE"/>
    <w:rsid w:val="003461ED"/>
    <w:rsid w:val="00346529"/>
    <w:rsid w:val="0034720D"/>
    <w:rsid w:val="003474FB"/>
    <w:rsid w:val="00357371"/>
    <w:rsid w:val="00361F9E"/>
    <w:rsid w:val="00362C12"/>
    <w:rsid w:val="00374E19"/>
    <w:rsid w:val="00382D06"/>
    <w:rsid w:val="00395FB4"/>
    <w:rsid w:val="003A12E0"/>
    <w:rsid w:val="003B67BB"/>
    <w:rsid w:val="003C1821"/>
    <w:rsid w:val="003C2FC7"/>
    <w:rsid w:val="003D369A"/>
    <w:rsid w:val="003D5088"/>
    <w:rsid w:val="003E0325"/>
    <w:rsid w:val="003F2011"/>
    <w:rsid w:val="00400B9A"/>
    <w:rsid w:val="004026E2"/>
    <w:rsid w:val="00406676"/>
    <w:rsid w:val="00406F51"/>
    <w:rsid w:val="004147E1"/>
    <w:rsid w:val="004313BA"/>
    <w:rsid w:val="00432D5D"/>
    <w:rsid w:val="0043596C"/>
    <w:rsid w:val="00435BFA"/>
    <w:rsid w:val="004376BA"/>
    <w:rsid w:val="00442F1E"/>
    <w:rsid w:val="004559AC"/>
    <w:rsid w:val="00455E48"/>
    <w:rsid w:val="00456DE0"/>
    <w:rsid w:val="0046017D"/>
    <w:rsid w:val="00474450"/>
    <w:rsid w:val="00476E29"/>
    <w:rsid w:val="00481320"/>
    <w:rsid w:val="00484133"/>
    <w:rsid w:val="00484FBF"/>
    <w:rsid w:val="00484FE5"/>
    <w:rsid w:val="00493AAC"/>
    <w:rsid w:val="00496916"/>
    <w:rsid w:val="004A2CC1"/>
    <w:rsid w:val="004A3069"/>
    <w:rsid w:val="004A4F69"/>
    <w:rsid w:val="004B510E"/>
    <w:rsid w:val="004B6ED9"/>
    <w:rsid w:val="004C6327"/>
    <w:rsid w:val="004D135C"/>
    <w:rsid w:val="004D5475"/>
    <w:rsid w:val="004D64DE"/>
    <w:rsid w:val="004E5105"/>
    <w:rsid w:val="004E7B98"/>
    <w:rsid w:val="004F2D11"/>
    <w:rsid w:val="004F72C1"/>
    <w:rsid w:val="005034A4"/>
    <w:rsid w:val="00504E46"/>
    <w:rsid w:val="00514561"/>
    <w:rsid w:val="00524124"/>
    <w:rsid w:val="00525DC3"/>
    <w:rsid w:val="005262ED"/>
    <w:rsid w:val="0054204D"/>
    <w:rsid w:val="005435A2"/>
    <w:rsid w:val="00557E84"/>
    <w:rsid w:val="0056264B"/>
    <w:rsid w:val="00565922"/>
    <w:rsid w:val="0057089E"/>
    <w:rsid w:val="00581200"/>
    <w:rsid w:val="005823AB"/>
    <w:rsid w:val="00593CEF"/>
    <w:rsid w:val="00596810"/>
    <w:rsid w:val="005A32A0"/>
    <w:rsid w:val="005A6D09"/>
    <w:rsid w:val="005A735A"/>
    <w:rsid w:val="005B0471"/>
    <w:rsid w:val="005B051A"/>
    <w:rsid w:val="005C29ED"/>
    <w:rsid w:val="005C3F07"/>
    <w:rsid w:val="005C6F6C"/>
    <w:rsid w:val="005C7948"/>
    <w:rsid w:val="005D09B2"/>
    <w:rsid w:val="005D461F"/>
    <w:rsid w:val="005D55C3"/>
    <w:rsid w:val="005D729D"/>
    <w:rsid w:val="005D76B6"/>
    <w:rsid w:val="005E4099"/>
    <w:rsid w:val="005F273F"/>
    <w:rsid w:val="00607F90"/>
    <w:rsid w:val="0061013F"/>
    <w:rsid w:val="0061561C"/>
    <w:rsid w:val="00636840"/>
    <w:rsid w:val="00643688"/>
    <w:rsid w:val="00647D42"/>
    <w:rsid w:val="006523FA"/>
    <w:rsid w:val="006600FC"/>
    <w:rsid w:val="00660D0B"/>
    <w:rsid w:val="006618F1"/>
    <w:rsid w:val="0066335F"/>
    <w:rsid w:val="00666AF7"/>
    <w:rsid w:val="00670AA0"/>
    <w:rsid w:val="006762DA"/>
    <w:rsid w:val="006809F2"/>
    <w:rsid w:val="006837F1"/>
    <w:rsid w:val="00684308"/>
    <w:rsid w:val="00684AD3"/>
    <w:rsid w:val="00686F6E"/>
    <w:rsid w:val="006A0913"/>
    <w:rsid w:val="006B0ABB"/>
    <w:rsid w:val="006B0B68"/>
    <w:rsid w:val="006B508D"/>
    <w:rsid w:val="006C70E8"/>
    <w:rsid w:val="006D1825"/>
    <w:rsid w:val="006D6FB9"/>
    <w:rsid w:val="006E001D"/>
    <w:rsid w:val="006E6DA1"/>
    <w:rsid w:val="006F1A8C"/>
    <w:rsid w:val="006F3BCD"/>
    <w:rsid w:val="006F4CB5"/>
    <w:rsid w:val="00701934"/>
    <w:rsid w:val="00702AF6"/>
    <w:rsid w:val="00703C80"/>
    <w:rsid w:val="007050FF"/>
    <w:rsid w:val="007063D5"/>
    <w:rsid w:val="007138C6"/>
    <w:rsid w:val="00713BE2"/>
    <w:rsid w:val="00725A8E"/>
    <w:rsid w:val="0073089F"/>
    <w:rsid w:val="00753520"/>
    <w:rsid w:val="00761F58"/>
    <w:rsid w:val="00765315"/>
    <w:rsid w:val="00772743"/>
    <w:rsid w:val="007748A8"/>
    <w:rsid w:val="00776984"/>
    <w:rsid w:val="00776D78"/>
    <w:rsid w:val="0077719D"/>
    <w:rsid w:val="00777CD4"/>
    <w:rsid w:val="007832EF"/>
    <w:rsid w:val="007855F3"/>
    <w:rsid w:val="00793476"/>
    <w:rsid w:val="00797D79"/>
    <w:rsid w:val="007A736C"/>
    <w:rsid w:val="007B08D4"/>
    <w:rsid w:val="007B591C"/>
    <w:rsid w:val="007B7628"/>
    <w:rsid w:val="007D6181"/>
    <w:rsid w:val="007E0052"/>
    <w:rsid w:val="007E1990"/>
    <w:rsid w:val="007F7268"/>
    <w:rsid w:val="007F7DBE"/>
    <w:rsid w:val="00800029"/>
    <w:rsid w:val="00801F86"/>
    <w:rsid w:val="00805683"/>
    <w:rsid w:val="008246C1"/>
    <w:rsid w:val="008250C8"/>
    <w:rsid w:val="008263C3"/>
    <w:rsid w:val="0082720D"/>
    <w:rsid w:val="00845A72"/>
    <w:rsid w:val="00851D62"/>
    <w:rsid w:val="0085329B"/>
    <w:rsid w:val="008614B0"/>
    <w:rsid w:val="00864A85"/>
    <w:rsid w:val="008662D7"/>
    <w:rsid w:val="008702C3"/>
    <w:rsid w:val="008729AD"/>
    <w:rsid w:val="00875585"/>
    <w:rsid w:val="00880B0B"/>
    <w:rsid w:val="008864D1"/>
    <w:rsid w:val="008915C7"/>
    <w:rsid w:val="008A7019"/>
    <w:rsid w:val="008B3084"/>
    <w:rsid w:val="008B7F4C"/>
    <w:rsid w:val="008D3A62"/>
    <w:rsid w:val="008E0D1D"/>
    <w:rsid w:val="008E3509"/>
    <w:rsid w:val="009015E2"/>
    <w:rsid w:val="0090635D"/>
    <w:rsid w:val="00914FB9"/>
    <w:rsid w:val="00922B29"/>
    <w:rsid w:val="009242CC"/>
    <w:rsid w:val="0092473D"/>
    <w:rsid w:val="00924AB3"/>
    <w:rsid w:val="0093096A"/>
    <w:rsid w:val="0093183E"/>
    <w:rsid w:val="00942F9F"/>
    <w:rsid w:val="00953477"/>
    <w:rsid w:val="009562B3"/>
    <w:rsid w:val="009649CA"/>
    <w:rsid w:val="0098287F"/>
    <w:rsid w:val="0099146C"/>
    <w:rsid w:val="009959F5"/>
    <w:rsid w:val="009A03E6"/>
    <w:rsid w:val="009B2AD4"/>
    <w:rsid w:val="009B364B"/>
    <w:rsid w:val="009B549A"/>
    <w:rsid w:val="009C320F"/>
    <w:rsid w:val="009C36C5"/>
    <w:rsid w:val="009C3954"/>
    <w:rsid w:val="009C5A6D"/>
    <w:rsid w:val="009C67E1"/>
    <w:rsid w:val="009D46BD"/>
    <w:rsid w:val="009D4742"/>
    <w:rsid w:val="009E59AB"/>
    <w:rsid w:val="009F45FD"/>
    <w:rsid w:val="00A00602"/>
    <w:rsid w:val="00A009E9"/>
    <w:rsid w:val="00A06B8A"/>
    <w:rsid w:val="00A07380"/>
    <w:rsid w:val="00A079B3"/>
    <w:rsid w:val="00A10121"/>
    <w:rsid w:val="00A1292F"/>
    <w:rsid w:val="00A13BC4"/>
    <w:rsid w:val="00A272C9"/>
    <w:rsid w:val="00A35B86"/>
    <w:rsid w:val="00A37A2D"/>
    <w:rsid w:val="00A44513"/>
    <w:rsid w:val="00A4669E"/>
    <w:rsid w:val="00A551B1"/>
    <w:rsid w:val="00A55C4C"/>
    <w:rsid w:val="00A572D9"/>
    <w:rsid w:val="00A60438"/>
    <w:rsid w:val="00A72ADE"/>
    <w:rsid w:val="00A83107"/>
    <w:rsid w:val="00A85F2D"/>
    <w:rsid w:val="00A868BF"/>
    <w:rsid w:val="00AA4E06"/>
    <w:rsid w:val="00AB6ACF"/>
    <w:rsid w:val="00AC1D04"/>
    <w:rsid w:val="00AD05C4"/>
    <w:rsid w:val="00AD6721"/>
    <w:rsid w:val="00AF05F5"/>
    <w:rsid w:val="00AF2756"/>
    <w:rsid w:val="00AF5C9E"/>
    <w:rsid w:val="00AF7586"/>
    <w:rsid w:val="00B04515"/>
    <w:rsid w:val="00B04B62"/>
    <w:rsid w:val="00B05B85"/>
    <w:rsid w:val="00B10996"/>
    <w:rsid w:val="00B17338"/>
    <w:rsid w:val="00B20032"/>
    <w:rsid w:val="00B222E5"/>
    <w:rsid w:val="00B27918"/>
    <w:rsid w:val="00B334BF"/>
    <w:rsid w:val="00B34A05"/>
    <w:rsid w:val="00B3672A"/>
    <w:rsid w:val="00B41695"/>
    <w:rsid w:val="00B47533"/>
    <w:rsid w:val="00B476DF"/>
    <w:rsid w:val="00B507C5"/>
    <w:rsid w:val="00B53C6F"/>
    <w:rsid w:val="00B56E7C"/>
    <w:rsid w:val="00B61B6C"/>
    <w:rsid w:val="00B6347F"/>
    <w:rsid w:val="00B71812"/>
    <w:rsid w:val="00B76AC4"/>
    <w:rsid w:val="00B806BF"/>
    <w:rsid w:val="00B80950"/>
    <w:rsid w:val="00B80BD6"/>
    <w:rsid w:val="00B8220C"/>
    <w:rsid w:val="00B8563F"/>
    <w:rsid w:val="00B8796E"/>
    <w:rsid w:val="00BA4AEE"/>
    <w:rsid w:val="00BE0DF9"/>
    <w:rsid w:val="00BF0656"/>
    <w:rsid w:val="00BF67CD"/>
    <w:rsid w:val="00C14B86"/>
    <w:rsid w:val="00C27ABA"/>
    <w:rsid w:val="00C32069"/>
    <w:rsid w:val="00C327A3"/>
    <w:rsid w:val="00C4133D"/>
    <w:rsid w:val="00C460CF"/>
    <w:rsid w:val="00C46940"/>
    <w:rsid w:val="00C47550"/>
    <w:rsid w:val="00C5151F"/>
    <w:rsid w:val="00C515F1"/>
    <w:rsid w:val="00C54B9C"/>
    <w:rsid w:val="00C61117"/>
    <w:rsid w:val="00C66CC6"/>
    <w:rsid w:val="00C70EE2"/>
    <w:rsid w:val="00C7114D"/>
    <w:rsid w:val="00C721F0"/>
    <w:rsid w:val="00C813A7"/>
    <w:rsid w:val="00C82AB0"/>
    <w:rsid w:val="00C83793"/>
    <w:rsid w:val="00C916D0"/>
    <w:rsid w:val="00CA26B6"/>
    <w:rsid w:val="00CA2D06"/>
    <w:rsid w:val="00CB4DED"/>
    <w:rsid w:val="00CC33BF"/>
    <w:rsid w:val="00CC42A2"/>
    <w:rsid w:val="00CC5A64"/>
    <w:rsid w:val="00CC642C"/>
    <w:rsid w:val="00CD2E61"/>
    <w:rsid w:val="00CD3EC3"/>
    <w:rsid w:val="00CD5E72"/>
    <w:rsid w:val="00CD7056"/>
    <w:rsid w:val="00CE02F5"/>
    <w:rsid w:val="00CE7F52"/>
    <w:rsid w:val="00CF29D3"/>
    <w:rsid w:val="00CF2AB8"/>
    <w:rsid w:val="00CF78C2"/>
    <w:rsid w:val="00D03DFA"/>
    <w:rsid w:val="00D0608D"/>
    <w:rsid w:val="00D118BB"/>
    <w:rsid w:val="00D17D07"/>
    <w:rsid w:val="00D20ED4"/>
    <w:rsid w:val="00D233B9"/>
    <w:rsid w:val="00D26CFB"/>
    <w:rsid w:val="00D34B5E"/>
    <w:rsid w:val="00D37FCE"/>
    <w:rsid w:val="00D45A0E"/>
    <w:rsid w:val="00D61D16"/>
    <w:rsid w:val="00D6657D"/>
    <w:rsid w:val="00D66E9A"/>
    <w:rsid w:val="00D76AFC"/>
    <w:rsid w:val="00D775B3"/>
    <w:rsid w:val="00D813B2"/>
    <w:rsid w:val="00D90327"/>
    <w:rsid w:val="00DA4423"/>
    <w:rsid w:val="00DA5041"/>
    <w:rsid w:val="00DA782B"/>
    <w:rsid w:val="00DB21D1"/>
    <w:rsid w:val="00DB772B"/>
    <w:rsid w:val="00DC0E50"/>
    <w:rsid w:val="00DC33F1"/>
    <w:rsid w:val="00DD1739"/>
    <w:rsid w:val="00DD3B21"/>
    <w:rsid w:val="00DF3072"/>
    <w:rsid w:val="00DF68C6"/>
    <w:rsid w:val="00E00858"/>
    <w:rsid w:val="00E2201F"/>
    <w:rsid w:val="00E351B2"/>
    <w:rsid w:val="00E36098"/>
    <w:rsid w:val="00E36E01"/>
    <w:rsid w:val="00E61D55"/>
    <w:rsid w:val="00E65761"/>
    <w:rsid w:val="00E67D49"/>
    <w:rsid w:val="00E71038"/>
    <w:rsid w:val="00E733E5"/>
    <w:rsid w:val="00E74197"/>
    <w:rsid w:val="00E85079"/>
    <w:rsid w:val="00E856EA"/>
    <w:rsid w:val="00E90A59"/>
    <w:rsid w:val="00EA02B5"/>
    <w:rsid w:val="00EA4537"/>
    <w:rsid w:val="00EC55CF"/>
    <w:rsid w:val="00EC6E55"/>
    <w:rsid w:val="00EC71F8"/>
    <w:rsid w:val="00ED0C6C"/>
    <w:rsid w:val="00ED4656"/>
    <w:rsid w:val="00ED5CB9"/>
    <w:rsid w:val="00EE5701"/>
    <w:rsid w:val="00EF0C68"/>
    <w:rsid w:val="00EF0E73"/>
    <w:rsid w:val="00EF14DD"/>
    <w:rsid w:val="00EF61CC"/>
    <w:rsid w:val="00EF683D"/>
    <w:rsid w:val="00EF6864"/>
    <w:rsid w:val="00EF7CCC"/>
    <w:rsid w:val="00F03B0C"/>
    <w:rsid w:val="00F10E8D"/>
    <w:rsid w:val="00F30716"/>
    <w:rsid w:val="00F343DA"/>
    <w:rsid w:val="00F3664E"/>
    <w:rsid w:val="00F43BDB"/>
    <w:rsid w:val="00F47A1D"/>
    <w:rsid w:val="00F5123B"/>
    <w:rsid w:val="00F519B7"/>
    <w:rsid w:val="00F57FDD"/>
    <w:rsid w:val="00F60B4D"/>
    <w:rsid w:val="00F659D4"/>
    <w:rsid w:val="00F662C3"/>
    <w:rsid w:val="00F70E36"/>
    <w:rsid w:val="00F718AC"/>
    <w:rsid w:val="00F83CB4"/>
    <w:rsid w:val="00F841AA"/>
    <w:rsid w:val="00F94CF4"/>
    <w:rsid w:val="00F95E8A"/>
    <w:rsid w:val="00F96B22"/>
    <w:rsid w:val="00FA25E1"/>
    <w:rsid w:val="00FA57F5"/>
    <w:rsid w:val="00FA7612"/>
    <w:rsid w:val="00FB3355"/>
    <w:rsid w:val="00FC4E02"/>
    <w:rsid w:val="00FC6EB3"/>
    <w:rsid w:val="00FC7320"/>
    <w:rsid w:val="00FD14BB"/>
    <w:rsid w:val="00FD1F06"/>
    <w:rsid w:val="00FD570F"/>
    <w:rsid w:val="00FD76D4"/>
    <w:rsid w:val="00FE27B5"/>
    <w:rsid w:val="00FF20AF"/>
    <w:rsid w:val="00FF3162"/>
    <w:rsid w:val="00F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63B"/>
    <w:pPr>
      <w:widowControl w:val="0"/>
      <w:jc w:val="both"/>
    </w:pPr>
    <w:rPr>
      <w:snapToGrid w:val="0"/>
      <w:kern w:val="28"/>
      <w:sz w:val="22"/>
    </w:rPr>
  </w:style>
  <w:style w:type="paragraph" w:styleId="Heading1">
    <w:name w:val="heading 1"/>
    <w:basedOn w:val="Normal"/>
    <w:next w:val="ParaNum"/>
    <w:qFormat/>
    <w:rsid w:val="0017263B"/>
    <w:pPr>
      <w:keepNext/>
      <w:numPr>
        <w:numId w:val="2"/>
      </w:numPr>
      <w:suppressAutoHyphens/>
      <w:spacing w:after="220"/>
      <w:outlineLvl w:val="0"/>
    </w:pPr>
    <w:rPr>
      <w:b/>
      <w:caps/>
    </w:rPr>
  </w:style>
  <w:style w:type="paragraph" w:styleId="Heading2">
    <w:name w:val="heading 2"/>
    <w:basedOn w:val="Normal"/>
    <w:next w:val="ParaNum"/>
    <w:qFormat/>
    <w:rsid w:val="0017263B"/>
    <w:pPr>
      <w:keepNext/>
      <w:numPr>
        <w:ilvl w:val="1"/>
        <w:numId w:val="2"/>
      </w:numPr>
      <w:spacing w:after="220"/>
      <w:outlineLvl w:val="1"/>
    </w:pPr>
    <w:rPr>
      <w:b/>
    </w:rPr>
  </w:style>
  <w:style w:type="paragraph" w:styleId="Heading3">
    <w:name w:val="heading 3"/>
    <w:basedOn w:val="Normal"/>
    <w:next w:val="ParaNum"/>
    <w:qFormat/>
    <w:rsid w:val="0017263B"/>
    <w:pPr>
      <w:keepNext/>
      <w:numPr>
        <w:ilvl w:val="2"/>
        <w:numId w:val="2"/>
      </w:numPr>
      <w:spacing w:after="220"/>
      <w:outlineLvl w:val="2"/>
    </w:pPr>
    <w:rPr>
      <w:b/>
    </w:rPr>
  </w:style>
  <w:style w:type="paragraph" w:styleId="Heading4">
    <w:name w:val="heading 4"/>
    <w:basedOn w:val="Normal"/>
    <w:next w:val="ParaNum"/>
    <w:qFormat/>
    <w:rsid w:val="0017263B"/>
    <w:pPr>
      <w:keepNext/>
      <w:numPr>
        <w:ilvl w:val="3"/>
        <w:numId w:val="2"/>
      </w:numPr>
      <w:spacing w:after="220"/>
      <w:outlineLvl w:val="3"/>
    </w:pPr>
    <w:rPr>
      <w:b/>
    </w:rPr>
  </w:style>
  <w:style w:type="paragraph" w:styleId="Heading5">
    <w:name w:val="heading 5"/>
    <w:basedOn w:val="Normal"/>
    <w:next w:val="ParaNum"/>
    <w:qFormat/>
    <w:rsid w:val="0017263B"/>
    <w:pPr>
      <w:keepNext/>
      <w:numPr>
        <w:ilvl w:val="4"/>
        <w:numId w:val="2"/>
      </w:numPr>
      <w:tabs>
        <w:tab w:val="left" w:pos="2880"/>
      </w:tabs>
      <w:suppressAutoHyphens/>
      <w:spacing w:after="220"/>
      <w:outlineLvl w:val="4"/>
    </w:pPr>
    <w:rPr>
      <w:b/>
      <w:sz w:val="24"/>
    </w:rPr>
  </w:style>
  <w:style w:type="paragraph" w:styleId="Heading6">
    <w:name w:val="heading 6"/>
    <w:basedOn w:val="Normal"/>
    <w:next w:val="ParaNum"/>
    <w:qFormat/>
    <w:rsid w:val="0017263B"/>
    <w:pPr>
      <w:numPr>
        <w:ilvl w:val="5"/>
        <w:numId w:val="2"/>
      </w:numPr>
      <w:tabs>
        <w:tab w:val="left" w:pos="2880"/>
      </w:tabs>
      <w:spacing w:after="220"/>
      <w:outlineLvl w:val="5"/>
    </w:pPr>
    <w:rPr>
      <w:b/>
    </w:rPr>
  </w:style>
  <w:style w:type="paragraph" w:styleId="Heading7">
    <w:name w:val="heading 7"/>
    <w:basedOn w:val="Normal"/>
    <w:next w:val="ParaNum"/>
    <w:qFormat/>
    <w:rsid w:val="0017263B"/>
    <w:pPr>
      <w:numPr>
        <w:ilvl w:val="6"/>
        <w:numId w:val="2"/>
      </w:numPr>
      <w:spacing w:after="240"/>
      <w:outlineLvl w:val="6"/>
    </w:pPr>
    <w:rPr>
      <w:b/>
    </w:rPr>
  </w:style>
  <w:style w:type="paragraph" w:styleId="Heading8">
    <w:name w:val="heading 8"/>
    <w:basedOn w:val="Normal"/>
    <w:next w:val="ParaNum"/>
    <w:qFormat/>
    <w:rsid w:val="0017263B"/>
    <w:pPr>
      <w:numPr>
        <w:ilvl w:val="7"/>
        <w:numId w:val="2"/>
      </w:numPr>
      <w:tabs>
        <w:tab w:val="left" w:pos="5040"/>
      </w:tabs>
      <w:spacing w:after="240"/>
      <w:outlineLvl w:val="7"/>
    </w:pPr>
    <w:rPr>
      <w:b/>
    </w:rPr>
  </w:style>
  <w:style w:type="paragraph" w:styleId="Heading9">
    <w:name w:val="heading 9"/>
    <w:basedOn w:val="Normal"/>
    <w:next w:val="ParaNum"/>
    <w:qFormat/>
    <w:rsid w:val="0017263B"/>
    <w:pPr>
      <w:numPr>
        <w:ilvl w:val="8"/>
        <w:numId w:val="2"/>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7263B"/>
    <w:pPr>
      <w:numPr>
        <w:numId w:val="1"/>
      </w:numPr>
      <w:spacing w:after="220"/>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semiHidden/>
    <w:rsid w:val="0017263B"/>
    <w:pPr>
      <w:tabs>
        <w:tab w:val="left" w:pos="720"/>
        <w:tab w:val="left" w:pos="1440"/>
      </w:tabs>
      <w:spacing w:after="200"/>
      <w:ind w:right="144"/>
    </w:pPr>
  </w:style>
  <w:style w:type="character" w:styleId="FootnoteReference">
    <w:name w:val="footnote reference"/>
    <w:semiHidden/>
    <w:rsid w:val="0017263B"/>
    <w:rPr>
      <w:rFonts w:ascii="Times New Roman" w:hAnsi="Times New Roman"/>
      <w:dstrike w:val="0"/>
      <w:color w:val="auto"/>
      <w:sz w:val="20"/>
      <w:vertAlign w:val="superscript"/>
    </w:rPr>
  </w:style>
  <w:style w:type="paragraph" w:styleId="TOAHeading">
    <w:name w:val="toa heading"/>
    <w:basedOn w:val="Normal"/>
    <w:next w:val="Normal"/>
    <w:semiHidden/>
    <w:rsid w:val="0017263B"/>
    <w:pPr>
      <w:tabs>
        <w:tab w:val="right" w:pos="9360"/>
      </w:tabs>
      <w:suppressAutoHyphens/>
    </w:pPr>
  </w:style>
  <w:style w:type="paragraph" w:styleId="Header">
    <w:name w:val="header"/>
    <w:basedOn w:val="Normal"/>
    <w:autoRedefine/>
    <w:rsid w:val="004B289B"/>
    <w:pPr>
      <w:pBdr>
        <w:bottom w:val="single" w:sz="12" w:space="1" w:color="auto"/>
      </w:pBdr>
      <w:tabs>
        <w:tab w:val="center" w:pos="4680"/>
        <w:tab w:val="right" w:pos="9360"/>
      </w:tabs>
      <w:jc w:val="center"/>
    </w:pPr>
    <w:rPr>
      <w:b/>
    </w:rPr>
  </w:style>
  <w:style w:type="paragraph" w:styleId="Footer">
    <w:name w:val="footer"/>
    <w:basedOn w:val="Normal"/>
    <w:rsid w:val="0017263B"/>
    <w:pPr>
      <w:tabs>
        <w:tab w:val="center" w:pos="4320"/>
        <w:tab w:val="right" w:pos="8640"/>
      </w:tabs>
    </w:pPr>
  </w:style>
  <w:style w:type="paragraph" w:customStyle="1" w:styleId="par1">
    <w:name w:val="par1"/>
    <w:basedOn w:val="Normal"/>
    <w:rsid w:val="00306426"/>
    <w:pPr>
      <w:widowControl/>
      <w:numPr>
        <w:numId w:val="3"/>
      </w:numPr>
      <w:jc w:val="left"/>
    </w:pPr>
    <w:rPr>
      <w:snapToGrid/>
      <w:kern w:val="0"/>
    </w:rPr>
  </w:style>
  <w:style w:type="paragraph" w:styleId="Caption">
    <w:name w:val="caption"/>
    <w:basedOn w:val="Normal"/>
    <w:next w:val="Normal"/>
    <w:qFormat/>
    <w:rsid w:val="00276E23"/>
    <w:pPr>
      <w:widowControl/>
      <w:spacing w:before="120" w:after="120"/>
      <w:jc w:val="left"/>
    </w:pPr>
    <w:rPr>
      <w:snapToGrid/>
      <w:kern w:val="0"/>
      <w:sz w:val="24"/>
      <w:szCs w:val="24"/>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semiHidden/>
    <w:rsid w:val="00053A50"/>
    <w:rPr>
      <w:lang w:val="en-US" w:eastAsia="en-US" w:bidi="ar-SA"/>
    </w:rPr>
  </w:style>
  <w:style w:type="character" w:customStyle="1" w:styleId="documentbody1">
    <w:name w:val="documentbody1"/>
    <w:rsid w:val="00DA15F1"/>
    <w:rPr>
      <w:rFonts w:ascii="Verdana" w:hAnsi="Verdana" w:hint="default"/>
      <w:sz w:val="19"/>
      <w:szCs w:val="19"/>
    </w:rPr>
  </w:style>
  <w:style w:type="character" w:styleId="Hyperlink">
    <w:name w:val="Hyperlink"/>
    <w:rsid w:val="0013552D"/>
    <w:rPr>
      <w:color w:val="0000FF"/>
      <w:u w:val="single"/>
    </w:rPr>
  </w:style>
  <w:style w:type="paragraph" w:styleId="BalloonText">
    <w:name w:val="Balloon Text"/>
    <w:basedOn w:val="Normal"/>
    <w:semiHidden/>
    <w:rsid w:val="004A7A2F"/>
    <w:rPr>
      <w:rFonts w:ascii="Tahoma" w:hAnsi="Tahoma" w:cs="Tahoma"/>
      <w:sz w:val="16"/>
      <w:szCs w:val="16"/>
    </w:rPr>
  </w:style>
  <w:style w:type="character" w:styleId="CommentReference">
    <w:name w:val="annotation reference"/>
    <w:semiHidden/>
    <w:rsid w:val="003031F2"/>
    <w:rPr>
      <w:sz w:val="16"/>
      <w:szCs w:val="16"/>
    </w:rPr>
  </w:style>
  <w:style w:type="paragraph" w:styleId="CommentText">
    <w:name w:val="annotation text"/>
    <w:basedOn w:val="Normal"/>
    <w:semiHidden/>
    <w:rsid w:val="003031F2"/>
    <w:rPr>
      <w:sz w:val="20"/>
    </w:rPr>
  </w:style>
  <w:style w:type="paragraph" w:styleId="CommentSubject">
    <w:name w:val="annotation subject"/>
    <w:basedOn w:val="CommentText"/>
    <w:next w:val="CommentText"/>
    <w:semiHidden/>
    <w:rsid w:val="003031F2"/>
    <w:rPr>
      <w:b/>
      <w:bCs/>
    </w:rPr>
  </w:style>
  <w:style w:type="character" w:styleId="Emphasis">
    <w:name w:val="Emphasis"/>
    <w:qFormat/>
    <w:rsid w:val="003747B2"/>
    <w:rPr>
      <w:i/>
      <w:iCs/>
    </w:rPr>
  </w:style>
  <w:style w:type="character" w:customStyle="1" w:styleId="ParaNumChar">
    <w:name w:val="ParaNum Char"/>
    <w:link w:val="ParaNum"/>
    <w:rsid w:val="00EE7B96"/>
    <w:rPr>
      <w:snapToGrid w:val="0"/>
      <w:kern w:val="28"/>
      <w:sz w:val="22"/>
      <w:lang w:val="en-US" w:eastAsia="en-US" w:bidi="ar-SA"/>
    </w:rPr>
  </w:style>
  <w:style w:type="paragraph" w:styleId="EndnoteText">
    <w:name w:val="endnote text"/>
    <w:basedOn w:val="Normal"/>
    <w:semiHidden/>
    <w:rsid w:val="00AC3DB3"/>
    <w:pPr>
      <w:tabs>
        <w:tab w:val="left" w:pos="0"/>
      </w:tabs>
      <w:suppressAutoHyphens/>
      <w:jc w:val="left"/>
    </w:pPr>
    <w:rPr>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63B"/>
    <w:pPr>
      <w:widowControl w:val="0"/>
      <w:jc w:val="both"/>
    </w:pPr>
    <w:rPr>
      <w:snapToGrid w:val="0"/>
      <w:kern w:val="28"/>
      <w:sz w:val="22"/>
    </w:rPr>
  </w:style>
  <w:style w:type="paragraph" w:styleId="Heading1">
    <w:name w:val="heading 1"/>
    <w:basedOn w:val="Normal"/>
    <w:next w:val="ParaNum"/>
    <w:qFormat/>
    <w:rsid w:val="0017263B"/>
    <w:pPr>
      <w:keepNext/>
      <w:numPr>
        <w:numId w:val="2"/>
      </w:numPr>
      <w:suppressAutoHyphens/>
      <w:spacing w:after="220"/>
      <w:outlineLvl w:val="0"/>
    </w:pPr>
    <w:rPr>
      <w:b/>
      <w:caps/>
    </w:rPr>
  </w:style>
  <w:style w:type="paragraph" w:styleId="Heading2">
    <w:name w:val="heading 2"/>
    <w:basedOn w:val="Normal"/>
    <w:next w:val="ParaNum"/>
    <w:qFormat/>
    <w:rsid w:val="0017263B"/>
    <w:pPr>
      <w:keepNext/>
      <w:numPr>
        <w:ilvl w:val="1"/>
        <w:numId w:val="2"/>
      </w:numPr>
      <w:spacing w:after="220"/>
      <w:outlineLvl w:val="1"/>
    </w:pPr>
    <w:rPr>
      <w:b/>
    </w:rPr>
  </w:style>
  <w:style w:type="paragraph" w:styleId="Heading3">
    <w:name w:val="heading 3"/>
    <w:basedOn w:val="Normal"/>
    <w:next w:val="ParaNum"/>
    <w:qFormat/>
    <w:rsid w:val="0017263B"/>
    <w:pPr>
      <w:keepNext/>
      <w:numPr>
        <w:ilvl w:val="2"/>
        <w:numId w:val="2"/>
      </w:numPr>
      <w:spacing w:after="220"/>
      <w:outlineLvl w:val="2"/>
    </w:pPr>
    <w:rPr>
      <w:b/>
    </w:rPr>
  </w:style>
  <w:style w:type="paragraph" w:styleId="Heading4">
    <w:name w:val="heading 4"/>
    <w:basedOn w:val="Normal"/>
    <w:next w:val="ParaNum"/>
    <w:qFormat/>
    <w:rsid w:val="0017263B"/>
    <w:pPr>
      <w:keepNext/>
      <w:numPr>
        <w:ilvl w:val="3"/>
        <w:numId w:val="2"/>
      </w:numPr>
      <w:spacing w:after="220"/>
      <w:outlineLvl w:val="3"/>
    </w:pPr>
    <w:rPr>
      <w:b/>
    </w:rPr>
  </w:style>
  <w:style w:type="paragraph" w:styleId="Heading5">
    <w:name w:val="heading 5"/>
    <w:basedOn w:val="Normal"/>
    <w:next w:val="ParaNum"/>
    <w:qFormat/>
    <w:rsid w:val="0017263B"/>
    <w:pPr>
      <w:keepNext/>
      <w:numPr>
        <w:ilvl w:val="4"/>
        <w:numId w:val="2"/>
      </w:numPr>
      <w:tabs>
        <w:tab w:val="left" w:pos="2880"/>
      </w:tabs>
      <w:suppressAutoHyphens/>
      <w:spacing w:after="220"/>
      <w:outlineLvl w:val="4"/>
    </w:pPr>
    <w:rPr>
      <w:b/>
      <w:sz w:val="24"/>
    </w:rPr>
  </w:style>
  <w:style w:type="paragraph" w:styleId="Heading6">
    <w:name w:val="heading 6"/>
    <w:basedOn w:val="Normal"/>
    <w:next w:val="ParaNum"/>
    <w:qFormat/>
    <w:rsid w:val="0017263B"/>
    <w:pPr>
      <w:numPr>
        <w:ilvl w:val="5"/>
        <w:numId w:val="2"/>
      </w:numPr>
      <w:tabs>
        <w:tab w:val="left" w:pos="2880"/>
      </w:tabs>
      <w:spacing w:after="220"/>
      <w:outlineLvl w:val="5"/>
    </w:pPr>
    <w:rPr>
      <w:b/>
    </w:rPr>
  </w:style>
  <w:style w:type="paragraph" w:styleId="Heading7">
    <w:name w:val="heading 7"/>
    <w:basedOn w:val="Normal"/>
    <w:next w:val="ParaNum"/>
    <w:qFormat/>
    <w:rsid w:val="0017263B"/>
    <w:pPr>
      <w:numPr>
        <w:ilvl w:val="6"/>
        <w:numId w:val="2"/>
      </w:numPr>
      <w:spacing w:after="240"/>
      <w:outlineLvl w:val="6"/>
    </w:pPr>
    <w:rPr>
      <w:b/>
    </w:rPr>
  </w:style>
  <w:style w:type="paragraph" w:styleId="Heading8">
    <w:name w:val="heading 8"/>
    <w:basedOn w:val="Normal"/>
    <w:next w:val="ParaNum"/>
    <w:qFormat/>
    <w:rsid w:val="0017263B"/>
    <w:pPr>
      <w:numPr>
        <w:ilvl w:val="7"/>
        <w:numId w:val="2"/>
      </w:numPr>
      <w:tabs>
        <w:tab w:val="left" w:pos="5040"/>
      </w:tabs>
      <w:spacing w:after="240"/>
      <w:outlineLvl w:val="7"/>
    </w:pPr>
    <w:rPr>
      <w:b/>
    </w:rPr>
  </w:style>
  <w:style w:type="paragraph" w:styleId="Heading9">
    <w:name w:val="heading 9"/>
    <w:basedOn w:val="Normal"/>
    <w:next w:val="ParaNum"/>
    <w:qFormat/>
    <w:rsid w:val="0017263B"/>
    <w:pPr>
      <w:numPr>
        <w:ilvl w:val="8"/>
        <w:numId w:val="2"/>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7263B"/>
    <w:pPr>
      <w:numPr>
        <w:numId w:val="1"/>
      </w:numPr>
      <w:spacing w:after="220"/>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semiHidden/>
    <w:rsid w:val="0017263B"/>
    <w:pPr>
      <w:tabs>
        <w:tab w:val="left" w:pos="720"/>
        <w:tab w:val="left" w:pos="1440"/>
      </w:tabs>
      <w:spacing w:after="200"/>
      <w:ind w:right="144"/>
    </w:pPr>
  </w:style>
  <w:style w:type="character" w:styleId="FootnoteReference">
    <w:name w:val="footnote reference"/>
    <w:semiHidden/>
    <w:rsid w:val="0017263B"/>
    <w:rPr>
      <w:rFonts w:ascii="Times New Roman" w:hAnsi="Times New Roman"/>
      <w:dstrike w:val="0"/>
      <w:color w:val="auto"/>
      <w:sz w:val="20"/>
      <w:vertAlign w:val="superscript"/>
    </w:rPr>
  </w:style>
  <w:style w:type="paragraph" w:styleId="TOAHeading">
    <w:name w:val="toa heading"/>
    <w:basedOn w:val="Normal"/>
    <w:next w:val="Normal"/>
    <w:semiHidden/>
    <w:rsid w:val="0017263B"/>
    <w:pPr>
      <w:tabs>
        <w:tab w:val="right" w:pos="9360"/>
      </w:tabs>
      <w:suppressAutoHyphens/>
    </w:pPr>
  </w:style>
  <w:style w:type="paragraph" w:styleId="Header">
    <w:name w:val="header"/>
    <w:basedOn w:val="Normal"/>
    <w:autoRedefine/>
    <w:rsid w:val="004B289B"/>
    <w:pPr>
      <w:pBdr>
        <w:bottom w:val="single" w:sz="12" w:space="1" w:color="auto"/>
      </w:pBdr>
      <w:tabs>
        <w:tab w:val="center" w:pos="4680"/>
        <w:tab w:val="right" w:pos="9360"/>
      </w:tabs>
      <w:jc w:val="center"/>
    </w:pPr>
    <w:rPr>
      <w:b/>
    </w:rPr>
  </w:style>
  <w:style w:type="paragraph" w:styleId="Footer">
    <w:name w:val="footer"/>
    <w:basedOn w:val="Normal"/>
    <w:rsid w:val="0017263B"/>
    <w:pPr>
      <w:tabs>
        <w:tab w:val="center" w:pos="4320"/>
        <w:tab w:val="right" w:pos="8640"/>
      </w:tabs>
    </w:pPr>
  </w:style>
  <w:style w:type="paragraph" w:customStyle="1" w:styleId="par1">
    <w:name w:val="par1"/>
    <w:basedOn w:val="Normal"/>
    <w:rsid w:val="00306426"/>
    <w:pPr>
      <w:widowControl/>
      <w:numPr>
        <w:numId w:val="3"/>
      </w:numPr>
      <w:jc w:val="left"/>
    </w:pPr>
    <w:rPr>
      <w:snapToGrid/>
      <w:kern w:val="0"/>
    </w:rPr>
  </w:style>
  <w:style w:type="paragraph" w:styleId="Caption">
    <w:name w:val="caption"/>
    <w:basedOn w:val="Normal"/>
    <w:next w:val="Normal"/>
    <w:qFormat/>
    <w:rsid w:val="00276E23"/>
    <w:pPr>
      <w:widowControl/>
      <w:spacing w:before="120" w:after="120"/>
      <w:jc w:val="left"/>
    </w:pPr>
    <w:rPr>
      <w:snapToGrid/>
      <w:kern w:val="0"/>
      <w:sz w:val="24"/>
      <w:szCs w:val="24"/>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semiHidden/>
    <w:rsid w:val="00053A50"/>
    <w:rPr>
      <w:lang w:val="en-US" w:eastAsia="en-US" w:bidi="ar-SA"/>
    </w:rPr>
  </w:style>
  <w:style w:type="character" w:customStyle="1" w:styleId="documentbody1">
    <w:name w:val="documentbody1"/>
    <w:rsid w:val="00DA15F1"/>
    <w:rPr>
      <w:rFonts w:ascii="Verdana" w:hAnsi="Verdana" w:hint="default"/>
      <w:sz w:val="19"/>
      <w:szCs w:val="19"/>
    </w:rPr>
  </w:style>
  <w:style w:type="character" w:styleId="Hyperlink">
    <w:name w:val="Hyperlink"/>
    <w:rsid w:val="0013552D"/>
    <w:rPr>
      <w:color w:val="0000FF"/>
      <w:u w:val="single"/>
    </w:rPr>
  </w:style>
  <w:style w:type="paragraph" w:styleId="BalloonText">
    <w:name w:val="Balloon Text"/>
    <w:basedOn w:val="Normal"/>
    <w:semiHidden/>
    <w:rsid w:val="004A7A2F"/>
    <w:rPr>
      <w:rFonts w:ascii="Tahoma" w:hAnsi="Tahoma" w:cs="Tahoma"/>
      <w:sz w:val="16"/>
      <w:szCs w:val="16"/>
    </w:rPr>
  </w:style>
  <w:style w:type="character" w:styleId="CommentReference">
    <w:name w:val="annotation reference"/>
    <w:semiHidden/>
    <w:rsid w:val="003031F2"/>
    <w:rPr>
      <w:sz w:val="16"/>
      <w:szCs w:val="16"/>
    </w:rPr>
  </w:style>
  <w:style w:type="paragraph" w:styleId="CommentText">
    <w:name w:val="annotation text"/>
    <w:basedOn w:val="Normal"/>
    <w:semiHidden/>
    <w:rsid w:val="003031F2"/>
    <w:rPr>
      <w:sz w:val="20"/>
    </w:rPr>
  </w:style>
  <w:style w:type="paragraph" w:styleId="CommentSubject">
    <w:name w:val="annotation subject"/>
    <w:basedOn w:val="CommentText"/>
    <w:next w:val="CommentText"/>
    <w:semiHidden/>
    <w:rsid w:val="003031F2"/>
    <w:rPr>
      <w:b/>
      <w:bCs/>
    </w:rPr>
  </w:style>
  <w:style w:type="character" w:styleId="Emphasis">
    <w:name w:val="Emphasis"/>
    <w:qFormat/>
    <w:rsid w:val="003747B2"/>
    <w:rPr>
      <w:i/>
      <w:iCs/>
    </w:rPr>
  </w:style>
  <w:style w:type="character" w:customStyle="1" w:styleId="ParaNumChar">
    <w:name w:val="ParaNum Char"/>
    <w:link w:val="ParaNum"/>
    <w:rsid w:val="00EE7B96"/>
    <w:rPr>
      <w:snapToGrid w:val="0"/>
      <w:kern w:val="28"/>
      <w:sz w:val="22"/>
      <w:lang w:val="en-US" w:eastAsia="en-US" w:bidi="ar-SA"/>
    </w:rPr>
  </w:style>
  <w:style w:type="paragraph" w:styleId="EndnoteText">
    <w:name w:val="endnote text"/>
    <w:basedOn w:val="Normal"/>
    <w:semiHidden/>
    <w:rsid w:val="00AC3DB3"/>
    <w:pPr>
      <w:tabs>
        <w:tab w:val="left" w:pos="0"/>
      </w:tabs>
      <w:suppressAutoHyphens/>
      <w:jc w:val="left"/>
    </w:pPr>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330802">
      <w:bodyDiv w:val="1"/>
      <w:marLeft w:val="0"/>
      <w:marRight w:val="0"/>
      <w:marTop w:val="0"/>
      <w:marBottom w:val="0"/>
      <w:divBdr>
        <w:top w:val="none" w:sz="0" w:space="0" w:color="auto"/>
        <w:left w:val="none" w:sz="0" w:space="0" w:color="auto"/>
        <w:bottom w:val="none" w:sz="0" w:space="0" w:color="auto"/>
        <w:right w:val="none" w:sz="0" w:space="0" w:color="auto"/>
      </w:divBdr>
    </w:div>
    <w:div w:id="1289359629">
      <w:bodyDiv w:val="1"/>
      <w:marLeft w:val="0"/>
      <w:marRight w:val="0"/>
      <w:marTop w:val="0"/>
      <w:marBottom w:val="0"/>
      <w:divBdr>
        <w:top w:val="none" w:sz="0" w:space="0" w:color="auto"/>
        <w:left w:val="none" w:sz="0" w:space="0" w:color="auto"/>
        <w:bottom w:val="none" w:sz="0" w:space="0" w:color="auto"/>
        <w:right w:val="none" w:sz="0" w:space="0" w:color="auto"/>
      </w:divBdr>
    </w:div>
    <w:div w:id="1536845165">
      <w:bodyDiv w:val="1"/>
      <w:marLeft w:val="0"/>
      <w:marRight w:val="0"/>
      <w:marTop w:val="0"/>
      <w:marBottom w:val="0"/>
      <w:divBdr>
        <w:top w:val="none" w:sz="0" w:space="0" w:color="auto"/>
        <w:left w:val="none" w:sz="0" w:space="0" w:color="auto"/>
        <w:bottom w:val="none" w:sz="0" w:space="0" w:color="auto"/>
        <w:right w:val="none" w:sz="0" w:space="0" w:color="auto"/>
      </w:divBdr>
    </w:div>
    <w:div w:id="18275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3371</Words>
  <Characters>19271</Characters>
  <Application>Microsoft Office Word</Application>
  <DocSecurity>0</DocSecurity>
  <Lines>304</Lines>
  <Paragraphs>77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22741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2013-03-01T18:29:00Z</cp:lastPrinted>
  <dcterms:created xsi:type="dcterms:W3CDTF">2013-03-05T19:24:00Z</dcterms:created>
  <dcterms:modified xsi:type="dcterms:W3CDTF">2013-03-05T19:24:00Z</dcterms:modified>
  <cp:category> </cp:category>
  <cp:contentStatus> </cp:contentStatus>
</cp:coreProperties>
</file>