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CE9" w:rsidRDefault="00262CE9">
      <w:bookmarkStart w:id="0" w:name="_GoBack"/>
      <w:bookmarkEnd w:id="0"/>
    </w:p>
    <w:p w:rsidR="00262CE9" w:rsidRDefault="00262CE9">
      <w:pPr>
        <w:sectPr w:rsidR="00262CE9">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720" w:right="720" w:bottom="1440" w:left="720" w:header="720" w:footer="1440" w:gutter="0"/>
          <w:pgNumType w:start="1"/>
          <w:cols w:space="720"/>
          <w:noEndnote/>
          <w:titlePg/>
        </w:sectPr>
      </w:pPr>
    </w:p>
    <w:p w:rsidR="00262CE9" w:rsidRDefault="00262CE9" w:rsidP="00F73F18">
      <w:pPr>
        <w:suppressAutoHyphens/>
        <w:ind w:left="720"/>
        <w:jc w:val="right"/>
        <w:rPr>
          <w:b/>
          <w:szCs w:val="22"/>
        </w:rPr>
      </w:pPr>
      <w:r>
        <w:rPr>
          <w:b/>
          <w:szCs w:val="22"/>
        </w:rPr>
        <w:lastRenderedPageBreak/>
        <w:t>DA 1</w:t>
      </w:r>
      <w:r w:rsidR="00897965">
        <w:rPr>
          <w:b/>
          <w:szCs w:val="22"/>
        </w:rPr>
        <w:t>3</w:t>
      </w:r>
      <w:r w:rsidRPr="00891089">
        <w:rPr>
          <w:b/>
          <w:szCs w:val="22"/>
        </w:rPr>
        <w:t>-</w:t>
      </w:r>
      <w:r w:rsidR="000A1A44">
        <w:rPr>
          <w:b/>
          <w:szCs w:val="22"/>
        </w:rPr>
        <w:t>2396</w:t>
      </w:r>
    </w:p>
    <w:p w:rsidR="00F73F18" w:rsidRPr="00891089" w:rsidRDefault="00F73F18" w:rsidP="00F73F18">
      <w:pPr>
        <w:suppressAutoHyphens/>
        <w:ind w:left="720"/>
        <w:jc w:val="right"/>
        <w:rPr>
          <w:b/>
          <w:szCs w:val="22"/>
        </w:rPr>
      </w:pPr>
    </w:p>
    <w:p w:rsidR="00262CE9" w:rsidRPr="00891089" w:rsidRDefault="00262CE9" w:rsidP="00F73F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r w:rsidRPr="00891089">
        <w:rPr>
          <w:b/>
          <w:szCs w:val="22"/>
        </w:rPr>
        <w:t xml:space="preserve">Released:  </w:t>
      </w:r>
      <w:r w:rsidR="009F0B12">
        <w:rPr>
          <w:b/>
          <w:szCs w:val="22"/>
        </w:rPr>
        <w:t>December 16</w:t>
      </w:r>
      <w:r w:rsidRPr="00891089">
        <w:rPr>
          <w:b/>
          <w:szCs w:val="22"/>
        </w:rPr>
        <w:t>, 201</w:t>
      </w:r>
      <w:r w:rsidR="004C0749">
        <w:rPr>
          <w:b/>
          <w:szCs w:val="22"/>
        </w:rPr>
        <w:t>3</w:t>
      </w:r>
    </w:p>
    <w:p w:rsidR="00262CE9" w:rsidRPr="00891089" w:rsidRDefault="00262CE9" w:rsidP="00F73F1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p>
    <w:p w:rsidR="00262CE9" w:rsidRPr="00891089" w:rsidRDefault="00262CE9">
      <w:pPr>
        <w:suppressAutoHyphens/>
        <w:jc w:val="center"/>
        <w:rPr>
          <w:b/>
          <w:spacing w:val="-2"/>
          <w:szCs w:val="22"/>
        </w:rPr>
      </w:pPr>
      <w:r w:rsidRPr="00891089">
        <w:rPr>
          <w:b/>
          <w:szCs w:val="22"/>
        </w:rPr>
        <w:t>PUBLIC SAFETY AND HOMELAND SECURITY BUREAU SEEKS COMMENT ON</w:t>
      </w:r>
      <w:r w:rsidR="00A23EDC" w:rsidRPr="00891089">
        <w:rPr>
          <w:b/>
          <w:szCs w:val="22"/>
        </w:rPr>
        <w:t xml:space="preserve"> </w:t>
      </w:r>
      <w:r w:rsidR="00627F5E">
        <w:rPr>
          <w:b/>
          <w:szCs w:val="22"/>
        </w:rPr>
        <w:t>SOMERSET</w:t>
      </w:r>
      <w:r w:rsidR="007F42B9">
        <w:rPr>
          <w:b/>
          <w:szCs w:val="22"/>
        </w:rPr>
        <w:t xml:space="preserve"> COUNTY, </w:t>
      </w:r>
      <w:r w:rsidR="00627F5E">
        <w:rPr>
          <w:b/>
          <w:szCs w:val="22"/>
        </w:rPr>
        <w:t>MAINE</w:t>
      </w:r>
      <w:r w:rsidR="009A7B7A" w:rsidRPr="00891089">
        <w:rPr>
          <w:b/>
          <w:szCs w:val="22"/>
        </w:rPr>
        <w:t xml:space="preserve"> REQUEST FOR WAIVER </w:t>
      </w:r>
      <w:r w:rsidRPr="00891089">
        <w:rPr>
          <w:b/>
          <w:szCs w:val="22"/>
        </w:rPr>
        <w:t xml:space="preserve">TO </w:t>
      </w:r>
      <w:r w:rsidR="009A7B7A" w:rsidRPr="00891089">
        <w:rPr>
          <w:b/>
          <w:szCs w:val="22"/>
        </w:rPr>
        <w:t xml:space="preserve">OPERATE </w:t>
      </w:r>
      <w:r w:rsidR="00A23EDC" w:rsidRPr="00891089">
        <w:rPr>
          <w:b/>
          <w:szCs w:val="22"/>
        </w:rPr>
        <w:t>VEHICULAR REPEATER UNITS</w:t>
      </w:r>
      <w:r w:rsidRPr="00891089">
        <w:rPr>
          <w:b/>
          <w:szCs w:val="22"/>
        </w:rPr>
        <w:t xml:space="preserve"> </w:t>
      </w:r>
      <w:r w:rsidR="00627F5E">
        <w:rPr>
          <w:b/>
          <w:szCs w:val="22"/>
        </w:rPr>
        <w:t xml:space="preserve">ON A NARROWBAND TELEMETRY </w:t>
      </w:r>
      <w:r w:rsidR="009A7B7A" w:rsidRPr="00891089">
        <w:rPr>
          <w:b/>
          <w:szCs w:val="22"/>
        </w:rPr>
        <w:t>FREQUENCY</w:t>
      </w:r>
    </w:p>
    <w:p w:rsidR="00262CE9" w:rsidRDefault="00262CE9">
      <w:pPr>
        <w:tabs>
          <w:tab w:val="left" w:pos="-720"/>
        </w:tabs>
        <w:suppressAutoHyphens/>
        <w:jc w:val="left"/>
        <w:outlineLvl w:val="0"/>
        <w:rPr>
          <w:b/>
          <w:szCs w:val="22"/>
        </w:rPr>
      </w:pPr>
    </w:p>
    <w:p w:rsidR="00F73F18" w:rsidRPr="00F73F18" w:rsidRDefault="00F73F18" w:rsidP="00F73F18">
      <w:pPr>
        <w:tabs>
          <w:tab w:val="left" w:pos="-720"/>
        </w:tabs>
        <w:suppressAutoHyphens/>
        <w:jc w:val="center"/>
        <w:outlineLvl w:val="0"/>
        <w:rPr>
          <w:b/>
          <w:szCs w:val="22"/>
        </w:rPr>
      </w:pPr>
      <w:r>
        <w:rPr>
          <w:b/>
          <w:szCs w:val="22"/>
        </w:rPr>
        <w:t xml:space="preserve">File No. </w:t>
      </w:r>
      <w:r w:rsidR="00627F5E" w:rsidRPr="00627F5E">
        <w:rPr>
          <w:b/>
          <w:szCs w:val="22"/>
        </w:rPr>
        <w:t>0005778484</w:t>
      </w:r>
    </w:p>
    <w:p w:rsidR="00F73F18" w:rsidRPr="00891089" w:rsidRDefault="00F73F18">
      <w:pPr>
        <w:tabs>
          <w:tab w:val="left" w:pos="-720"/>
        </w:tabs>
        <w:suppressAutoHyphens/>
        <w:jc w:val="left"/>
        <w:outlineLvl w:val="0"/>
        <w:rPr>
          <w:b/>
          <w:szCs w:val="22"/>
        </w:rPr>
      </w:pPr>
    </w:p>
    <w:p w:rsidR="00262CE9" w:rsidRPr="00891089" w:rsidRDefault="00262CE9">
      <w:pPr>
        <w:tabs>
          <w:tab w:val="left" w:pos="-720"/>
        </w:tabs>
        <w:suppressAutoHyphens/>
        <w:jc w:val="left"/>
        <w:rPr>
          <w:b/>
          <w:szCs w:val="22"/>
        </w:rPr>
      </w:pPr>
      <w:r w:rsidRPr="00891089">
        <w:rPr>
          <w:b/>
          <w:szCs w:val="22"/>
        </w:rPr>
        <w:t xml:space="preserve">Comment Date:  </w:t>
      </w:r>
      <w:r w:rsidR="009F0B12">
        <w:rPr>
          <w:b/>
          <w:szCs w:val="22"/>
        </w:rPr>
        <w:t>January 15, 2014</w:t>
      </w:r>
    </w:p>
    <w:p w:rsidR="00262CE9" w:rsidRDefault="00262CE9">
      <w:pPr>
        <w:tabs>
          <w:tab w:val="left" w:pos="-720"/>
        </w:tabs>
        <w:suppressAutoHyphens/>
        <w:jc w:val="left"/>
        <w:rPr>
          <w:b/>
          <w:szCs w:val="22"/>
        </w:rPr>
      </w:pPr>
      <w:r w:rsidRPr="00891089">
        <w:rPr>
          <w:b/>
          <w:szCs w:val="22"/>
        </w:rPr>
        <w:t xml:space="preserve">Reply Comment Date:  </w:t>
      </w:r>
      <w:r w:rsidR="009F0B12" w:rsidRPr="009F0B12">
        <w:rPr>
          <w:b/>
          <w:szCs w:val="22"/>
        </w:rPr>
        <w:t>January</w:t>
      </w:r>
      <w:r w:rsidR="009F0B12">
        <w:rPr>
          <w:b/>
          <w:szCs w:val="22"/>
        </w:rPr>
        <w:t xml:space="preserve"> 30</w:t>
      </w:r>
      <w:r w:rsidRPr="00891089">
        <w:rPr>
          <w:b/>
          <w:szCs w:val="22"/>
        </w:rPr>
        <w:t>, 201</w:t>
      </w:r>
      <w:r w:rsidR="009F0B12">
        <w:rPr>
          <w:b/>
          <w:szCs w:val="22"/>
        </w:rPr>
        <w:t>4</w:t>
      </w:r>
      <w:r>
        <w:rPr>
          <w:b/>
          <w:szCs w:val="22"/>
        </w:rPr>
        <w:t xml:space="preserve">  </w:t>
      </w:r>
    </w:p>
    <w:p w:rsidR="00262CE9" w:rsidRDefault="00262CE9">
      <w:pPr>
        <w:tabs>
          <w:tab w:val="left" w:pos="-720"/>
        </w:tabs>
        <w:suppressAutoHyphens/>
        <w:jc w:val="left"/>
        <w:rPr>
          <w:szCs w:val="22"/>
        </w:rPr>
      </w:pPr>
    </w:p>
    <w:p w:rsidR="005E72B6" w:rsidRDefault="007A5C0B" w:rsidP="007F1CEE">
      <w:pPr>
        <w:widowControl/>
        <w:autoSpaceDE w:val="0"/>
        <w:autoSpaceDN w:val="0"/>
        <w:adjustRightInd w:val="0"/>
        <w:ind w:firstLine="720"/>
        <w:jc w:val="left"/>
      </w:pPr>
      <w:r w:rsidRPr="000469D0">
        <w:rPr>
          <w:color w:val="000000"/>
          <w:szCs w:val="22"/>
        </w:rPr>
        <w:t>The Public Safety and Homeland Security Bureau seeks comment on the application and waiver request</w:t>
      </w:r>
      <w:r>
        <w:t xml:space="preserve"> filed o</w:t>
      </w:r>
      <w:r w:rsidR="009A7B7A">
        <w:t xml:space="preserve">n </w:t>
      </w:r>
      <w:r w:rsidR="00627F5E">
        <w:t>May 14, 2013</w:t>
      </w:r>
      <w:r w:rsidR="009A7B7A">
        <w:t>,</w:t>
      </w:r>
      <w:r>
        <w:t xml:space="preserve"> by</w:t>
      </w:r>
      <w:r w:rsidR="007F42B9">
        <w:t xml:space="preserve"> the County of </w:t>
      </w:r>
      <w:r w:rsidR="00627F5E">
        <w:t>Somerset</w:t>
      </w:r>
      <w:r w:rsidR="007F42B9">
        <w:t xml:space="preserve">, </w:t>
      </w:r>
      <w:r w:rsidR="00627F5E">
        <w:t>Maine</w:t>
      </w:r>
      <w:r w:rsidR="009A7B7A">
        <w:t xml:space="preserve"> (</w:t>
      </w:r>
      <w:r w:rsidR="00627F5E">
        <w:t>Somerset</w:t>
      </w:r>
      <w:r w:rsidR="007F42B9">
        <w:t>, or the County</w:t>
      </w:r>
      <w:r w:rsidR="009A7B7A">
        <w:t>)</w:t>
      </w:r>
      <w:r>
        <w:t xml:space="preserve"> </w:t>
      </w:r>
      <w:r w:rsidR="009A7B7A">
        <w:t xml:space="preserve">to use </w:t>
      </w:r>
      <w:r w:rsidR="00627F5E">
        <w:t>narrowband telemetry</w:t>
      </w:r>
      <w:r w:rsidR="007F42B9">
        <w:t xml:space="preserve"> </w:t>
      </w:r>
      <w:r w:rsidR="009A7B7A">
        <w:t xml:space="preserve">frequency </w:t>
      </w:r>
      <w:r w:rsidR="00627F5E">
        <w:t>173.210</w:t>
      </w:r>
      <w:r w:rsidR="009A7B7A">
        <w:t xml:space="preserve"> MHz for vehicular repeaters.</w:t>
      </w:r>
      <w:r w:rsidR="009A7B7A">
        <w:rPr>
          <w:rStyle w:val="FootnoteReference"/>
        </w:rPr>
        <w:footnoteReference w:id="1"/>
      </w:r>
      <w:r w:rsidR="009A7B7A">
        <w:t xml:space="preserve"> </w:t>
      </w:r>
      <w:r w:rsidR="00500549">
        <w:t xml:space="preserve"> </w:t>
      </w:r>
      <w:r w:rsidR="007F1CEE" w:rsidRPr="007F1CEE">
        <w:t>Limitations 34, 36, and 54 of the Public Safety Pool restrict the bandwidth of this frequency to 3 kilohertz and limit the permissible operations to remote control and telemetry data.</w:t>
      </w:r>
      <w:r w:rsidR="007F1CEE" w:rsidRPr="007F1CEE">
        <w:rPr>
          <w:vertAlign w:val="superscript"/>
        </w:rPr>
        <w:footnoteReference w:id="2"/>
      </w:r>
      <w:r w:rsidR="007F1CEE" w:rsidRPr="007F1CEE">
        <w:t xml:space="preserve">  Somerset requests waiver of these limitations because it proposes to conduct 11.25-kilohertz bandwidth voice operations on this frequency.</w:t>
      </w:r>
      <w:r w:rsidR="007F1CEE" w:rsidRPr="007F1CEE">
        <w:rPr>
          <w:vertAlign w:val="superscript"/>
        </w:rPr>
        <w:footnoteReference w:id="3"/>
      </w:r>
      <w:r w:rsidR="007F1CEE" w:rsidRPr="007F1CEE">
        <w:t xml:space="preserve">  </w:t>
      </w:r>
      <w:r w:rsidR="004807F3">
        <w:t xml:space="preserve">Somerset argues that it has no reasonable alternative pursuant </w:t>
      </w:r>
      <w:r w:rsidR="007F42B9">
        <w:t xml:space="preserve">to </w:t>
      </w:r>
      <w:r w:rsidR="000D226E">
        <w:t xml:space="preserve">Section </w:t>
      </w:r>
      <w:r w:rsidR="007F42B9">
        <w:t>1.925 of the Commission’s rules.</w:t>
      </w:r>
      <w:r w:rsidR="007F42B9">
        <w:rPr>
          <w:rStyle w:val="FootnoteReference"/>
        </w:rPr>
        <w:footnoteReference w:id="4"/>
      </w:r>
      <w:r w:rsidR="00500549">
        <w:t xml:space="preserve">  </w:t>
      </w:r>
    </w:p>
    <w:p w:rsidR="005E72B6" w:rsidRDefault="005E72B6" w:rsidP="00500549">
      <w:pPr>
        <w:widowControl/>
        <w:autoSpaceDE w:val="0"/>
        <w:autoSpaceDN w:val="0"/>
        <w:adjustRightInd w:val="0"/>
        <w:ind w:firstLine="720"/>
        <w:jc w:val="left"/>
      </w:pPr>
    </w:p>
    <w:p w:rsidR="002D7201" w:rsidRDefault="006E5BB3" w:rsidP="00500549">
      <w:pPr>
        <w:widowControl/>
        <w:autoSpaceDE w:val="0"/>
        <w:autoSpaceDN w:val="0"/>
        <w:adjustRightInd w:val="0"/>
        <w:ind w:firstLine="720"/>
        <w:jc w:val="left"/>
      </w:pPr>
      <w:r>
        <w:t>The County encompasses 3600 square miles of hilly terrain.</w:t>
      </w:r>
      <w:r>
        <w:rPr>
          <w:rStyle w:val="FootnoteReference"/>
        </w:rPr>
        <w:footnoteReference w:id="5"/>
      </w:r>
      <w:r>
        <w:t xml:space="preserve">  </w:t>
      </w:r>
      <w:r w:rsidR="00627F5E">
        <w:t>Somerset</w:t>
      </w:r>
      <w:r w:rsidR="00AF7B47">
        <w:t xml:space="preserve"> </w:t>
      </w:r>
      <w:r w:rsidR="002920E2">
        <w:t xml:space="preserve">operates a </w:t>
      </w:r>
      <w:r w:rsidR="0000424D">
        <w:t>VHF</w:t>
      </w:r>
      <w:r w:rsidR="00585BFC">
        <w:rPr>
          <w:rStyle w:val="FootnoteReference"/>
        </w:rPr>
        <w:footnoteReference w:id="6"/>
      </w:r>
      <w:r w:rsidR="0000424D">
        <w:t xml:space="preserve"> public safety</w:t>
      </w:r>
      <w:r w:rsidR="00EB7EFA">
        <w:t xml:space="preserve"> radio</w:t>
      </w:r>
      <w:r w:rsidR="0000424D">
        <w:t xml:space="preserve"> system under </w:t>
      </w:r>
      <w:r w:rsidR="002920E2">
        <w:t>17 licenses</w:t>
      </w:r>
      <w:r w:rsidR="0000424D">
        <w:t>.</w:t>
      </w:r>
      <w:r w:rsidR="0000424D">
        <w:rPr>
          <w:rStyle w:val="FootnoteReference"/>
        </w:rPr>
        <w:footnoteReference w:id="7"/>
      </w:r>
      <w:r w:rsidR="0000424D">
        <w:t xml:space="preserve">  </w:t>
      </w:r>
      <w:r w:rsidR="00C6736C">
        <w:t xml:space="preserve">Somerset </w:t>
      </w:r>
      <w:r w:rsidR="00777838">
        <w:t>states that “</w:t>
      </w:r>
      <w:r w:rsidR="00C6736C">
        <w:t>VHF for repeater communications over large areas is necessitated by the vast and largely unpopulated terrain in the County” and “for interoperability with the State” of Maine, which also uses the VHF band for its statewide public safety communications system.</w:t>
      </w:r>
      <w:r w:rsidR="00C6736C">
        <w:rPr>
          <w:rStyle w:val="FootnoteReference"/>
        </w:rPr>
        <w:footnoteReference w:id="8"/>
      </w:r>
      <w:r w:rsidR="00C6736C">
        <w:t xml:space="preserve">  </w:t>
      </w:r>
      <w:r>
        <w:t xml:space="preserve">Somerset states that communications in much of the county “is spotty or </w:t>
      </w:r>
      <w:r>
        <w:lastRenderedPageBreak/>
        <w:t>nonexistent.”</w:t>
      </w:r>
      <w:r>
        <w:rPr>
          <w:rStyle w:val="FootnoteReference"/>
        </w:rPr>
        <w:footnoteReference w:id="9"/>
      </w:r>
      <w:r>
        <w:t xml:space="preserve">  The County states that “deputies using portables are almost completely unable to communicate when the deputies are out of [their] vehicle[s].”</w:t>
      </w:r>
      <w:r>
        <w:rPr>
          <w:rStyle w:val="FootnoteReference"/>
        </w:rPr>
        <w:footnoteReference w:id="10"/>
      </w:r>
      <w:r>
        <w:t xml:space="preserve">  The County states that “the current vehicular repeaters upon which the deputies depend are inoperable.”</w:t>
      </w:r>
      <w:r>
        <w:rPr>
          <w:rStyle w:val="FootnoteReference"/>
        </w:rPr>
        <w:footnoteReference w:id="11"/>
      </w:r>
      <w:r>
        <w:t xml:space="preserve">  Somerset avers that “a waiver would enable the county to deploy current technology repeaters.”</w:t>
      </w:r>
      <w:r>
        <w:rPr>
          <w:rStyle w:val="FootnoteReference"/>
        </w:rPr>
        <w:footnoteReference w:id="12"/>
      </w:r>
    </w:p>
    <w:p w:rsidR="00200700" w:rsidRDefault="00200700" w:rsidP="00C6736C">
      <w:pPr>
        <w:widowControl/>
        <w:ind w:firstLine="720"/>
        <w:jc w:val="left"/>
      </w:pPr>
    </w:p>
    <w:p w:rsidR="00175C6E" w:rsidRDefault="00200700" w:rsidP="00C6736C">
      <w:pPr>
        <w:widowControl/>
        <w:ind w:firstLine="720"/>
        <w:jc w:val="left"/>
      </w:pPr>
      <w:r w:rsidRPr="00200700">
        <w:t xml:space="preserve">The County </w:t>
      </w:r>
      <w:r w:rsidR="00CD311E">
        <w:t>references</w:t>
      </w:r>
      <w:r>
        <w:t xml:space="preserve"> </w:t>
      </w:r>
      <w:r w:rsidR="00880928">
        <w:t>the Wayne County, Indiana</w:t>
      </w:r>
      <w:r w:rsidR="00DE2442">
        <w:t xml:space="preserve"> </w:t>
      </w:r>
      <w:r w:rsidR="00DE2442" w:rsidRPr="00274AD7">
        <w:rPr>
          <w:i/>
        </w:rPr>
        <w:t>Order</w:t>
      </w:r>
      <w:r w:rsidR="00DE2442">
        <w:rPr>
          <w:rStyle w:val="FootnoteReference"/>
        </w:rPr>
        <w:footnoteReference w:id="13"/>
      </w:r>
      <w:r w:rsidR="00DE2442">
        <w:t xml:space="preserve"> </w:t>
      </w:r>
      <w:r w:rsidR="00880928">
        <w:t xml:space="preserve">involving a </w:t>
      </w:r>
      <w:r w:rsidR="00274AD7">
        <w:t xml:space="preserve">vehicular repeater waiver </w:t>
      </w:r>
      <w:r w:rsidR="00880928">
        <w:t>request for the same frequency</w:t>
      </w:r>
      <w:r w:rsidR="005574FE">
        <w:t xml:space="preserve"> 173.210 MHz</w:t>
      </w:r>
      <w:r w:rsidR="00274AD7">
        <w:t>,</w:t>
      </w:r>
      <w:r w:rsidR="00880928">
        <w:t xml:space="preserve"> </w:t>
      </w:r>
      <w:r>
        <w:t>where the Bureau</w:t>
      </w:r>
      <w:r w:rsidR="00446ABA">
        <w:t>’s Policy and Licensing Div</w:t>
      </w:r>
      <w:r w:rsidR="00EB7EFA">
        <w:t>i</w:t>
      </w:r>
      <w:r w:rsidR="00446ABA">
        <w:t>sion</w:t>
      </w:r>
      <w:r>
        <w:t xml:space="preserve"> recognized that </w:t>
      </w:r>
      <w:r w:rsidR="00880928">
        <w:t xml:space="preserve">filtered </w:t>
      </w:r>
      <w:r>
        <w:t>vehicular repeaters</w:t>
      </w:r>
      <w:r w:rsidR="00DF4A82">
        <w:t xml:space="preserve"> manufacture</w:t>
      </w:r>
      <w:r w:rsidR="00880928">
        <w:t>d by</w:t>
      </w:r>
      <w:r w:rsidR="00DF4A82">
        <w:t xml:space="preserve"> Pyramid Communications, Inc.</w:t>
      </w:r>
      <w:r w:rsidR="00446ABA">
        <w:t>,</w:t>
      </w:r>
      <w:r w:rsidR="00DF4A82">
        <w:t xml:space="preserve"> (Pyramid) </w:t>
      </w:r>
      <w:r>
        <w:t xml:space="preserve">require a minimum of </w:t>
      </w:r>
      <w:r w:rsidR="00CD311E">
        <w:t>two</w:t>
      </w:r>
      <w:r>
        <w:t xml:space="preserve"> megahertz spacing </w:t>
      </w:r>
      <w:r w:rsidR="004B3EC8">
        <w:t>above and below any frequency</w:t>
      </w:r>
      <w:r>
        <w:t xml:space="preserve"> in the </w:t>
      </w:r>
      <w:r w:rsidR="004B3EC8">
        <w:t xml:space="preserve">licensee’s radio </w:t>
      </w:r>
      <w:r>
        <w:t>system.</w:t>
      </w:r>
      <w:r w:rsidR="002D2237">
        <w:rPr>
          <w:rStyle w:val="FootnoteReference"/>
        </w:rPr>
        <w:footnoteReference w:id="14"/>
      </w:r>
      <w:r>
        <w:t xml:space="preserve">  </w:t>
      </w:r>
      <w:r w:rsidR="00DF4A82">
        <w:t xml:space="preserve">While Somerset does not identify </w:t>
      </w:r>
      <w:r w:rsidR="00EB2480">
        <w:t xml:space="preserve">Pyramid as </w:t>
      </w:r>
      <w:r w:rsidR="00DF4A82">
        <w:t xml:space="preserve">the </w:t>
      </w:r>
      <w:r w:rsidR="00EB2480">
        <w:t>manufacturer</w:t>
      </w:r>
      <w:r w:rsidR="00DF4A82">
        <w:t xml:space="preserve"> of the vehicular repeater equipment it proposes to use, </w:t>
      </w:r>
      <w:r>
        <w:t xml:space="preserve">Somerset </w:t>
      </w:r>
      <w:r w:rsidRPr="00200700">
        <w:t>contend</w:t>
      </w:r>
      <w:r w:rsidR="00EB2480">
        <w:t>s</w:t>
      </w:r>
      <w:r w:rsidRPr="00200700">
        <w:t xml:space="preserve"> that no public safety frequency exists in the 150-160 MHz band that is spaced at least </w:t>
      </w:r>
      <w:r w:rsidR="00EB2480">
        <w:t>two</w:t>
      </w:r>
      <w:r w:rsidRPr="00200700">
        <w:t xml:space="preserve"> megahertz from all spectrum in use countywide.</w:t>
      </w:r>
      <w:r w:rsidR="008C0F59">
        <w:rPr>
          <w:rStyle w:val="FootnoteReference"/>
        </w:rPr>
        <w:footnoteReference w:id="15"/>
      </w:r>
    </w:p>
    <w:p w:rsidR="00175C6E" w:rsidRDefault="00175C6E" w:rsidP="00C6736C">
      <w:pPr>
        <w:widowControl/>
        <w:ind w:firstLine="720"/>
        <w:jc w:val="left"/>
      </w:pPr>
    </w:p>
    <w:p w:rsidR="00200700" w:rsidRDefault="00200700" w:rsidP="00C6736C">
      <w:pPr>
        <w:widowControl/>
        <w:ind w:firstLine="720"/>
        <w:jc w:val="left"/>
      </w:pPr>
      <w:r>
        <w:t xml:space="preserve">To satisfy the spectral separation requirement of vehicular repeaters, </w:t>
      </w:r>
      <w:r w:rsidRPr="00200700">
        <w:t xml:space="preserve">Somerset </w:t>
      </w:r>
      <w:r w:rsidR="007F1CEE">
        <w:t>examined</w:t>
      </w:r>
      <w:r w:rsidRPr="00200700">
        <w:t xml:space="preserve"> </w:t>
      </w:r>
      <w:r w:rsidR="003927DB">
        <w:t xml:space="preserve">20 </w:t>
      </w:r>
      <w:r w:rsidRPr="00200700">
        <w:t>frequencies available to public safety users between 170 and 174 MHz.</w:t>
      </w:r>
      <w:r w:rsidR="008C0F59">
        <w:rPr>
          <w:rStyle w:val="FootnoteReference"/>
        </w:rPr>
        <w:footnoteReference w:id="16"/>
      </w:r>
      <w:r w:rsidRPr="00200700">
        <w:t xml:space="preserve">  Somerset </w:t>
      </w:r>
      <w:r w:rsidR="003927DB">
        <w:t xml:space="preserve">notes that </w:t>
      </w:r>
      <w:r w:rsidRPr="00200700">
        <w:t xml:space="preserve">nine </w:t>
      </w:r>
      <w:r w:rsidR="003927DB">
        <w:t xml:space="preserve">frequencies are restricted to Federal forest firefighting, </w:t>
      </w:r>
      <w:r w:rsidRPr="00200700">
        <w:t xml:space="preserve">and </w:t>
      </w:r>
      <w:r w:rsidR="003927DB">
        <w:t xml:space="preserve">one frequency is reserved for </w:t>
      </w:r>
      <w:r w:rsidRPr="00200700">
        <w:t>the stolen vehicle recovery service</w:t>
      </w:r>
      <w:r w:rsidR="003927DB">
        <w:t>.  Aside from these frequencies, the County notes that there are</w:t>
      </w:r>
      <w:r w:rsidRPr="00200700">
        <w:t xml:space="preserve"> ten frequencies between 173.20375</w:t>
      </w:r>
      <w:r w:rsidR="004B3EC8">
        <w:t xml:space="preserve"> </w:t>
      </w:r>
      <w:r w:rsidRPr="00200700">
        <w:t>and173.39625 MHz.</w:t>
      </w:r>
      <w:r w:rsidR="008C0F59">
        <w:rPr>
          <w:rStyle w:val="FootnoteReference"/>
        </w:rPr>
        <w:footnoteReference w:id="17"/>
      </w:r>
      <w:r w:rsidRPr="00200700">
        <w:t xml:space="preserve">  The County found that all </w:t>
      </w:r>
      <w:r w:rsidR="005574FE">
        <w:t>frequencies</w:t>
      </w:r>
      <w:r w:rsidRPr="00200700">
        <w:t xml:space="preserve"> except 173.210 MHz have co-channel or adjacent channel operations within 40 kilometers of the county border</w:t>
      </w:r>
      <w:r w:rsidR="00CD311E">
        <w:t>.</w:t>
      </w:r>
      <w:r w:rsidR="008C0F59">
        <w:rPr>
          <w:rStyle w:val="FootnoteReference"/>
        </w:rPr>
        <w:footnoteReference w:id="18"/>
      </w:r>
    </w:p>
    <w:p w:rsidR="00A35BAA" w:rsidRDefault="00A35BAA" w:rsidP="00C6736C">
      <w:pPr>
        <w:widowControl/>
        <w:ind w:firstLine="720"/>
        <w:jc w:val="left"/>
      </w:pPr>
    </w:p>
    <w:p w:rsidR="00A35BAA" w:rsidRDefault="00A35BAA" w:rsidP="00C6736C">
      <w:pPr>
        <w:widowControl/>
        <w:ind w:firstLine="720"/>
        <w:jc w:val="left"/>
      </w:pPr>
      <w:r w:rsidRPr="00A35BAA">
        <w:t xml:space="preserve">The closest co-channel </w:t>
      </w:r>
      <w:r w:rsidR="007F1CEE">
        <w:t>station</w:t>
      </w:r>
      <w:r w:rsidRPr="00A35BAA">
        <w:t xml:space="preserve"> on frequency </w:t>
      </w:r>
      <w:r>
        <w:t>173.210 MHz is Station WNYH567 located</w:t>
      </w:r>
      <w:r w:rsidRPr="00A35BAA">
        <w:t xml:space="preserve"> 74 kilometers from the county border, and the closest adjacent channel </w:t>
      </w:r>
      <w:r w:rsidR="007F1CEE" w:rsidRPr="007F1CEE">
        <w:t xml:space="preserve">station </w:t>
      </w:r>
      <w:r w:rsidRPr="00A35BAA">
        <w:t xml:space="preserve">on frequency 173.20375 MHz is Station WPKW529 </w:t>
      </w:r>
      <w:r>
        <w:t xml:space="preserve">located </w:t>
      </w:r>
      <w:r w:rsidRPr="00A35BAA">
        <w:t>41.2 kilometers</w:t>
      </w:r>
      <w:r>
        <w:t xml:space="preserve"> from the county border</w:t>
      </w:r>
      <w:r w:rsidRPr="00A35BAA">
        <w:t>.  Somerset conducted an interference study and asserts that with a “worst-case mobile location, there is nearly zero probability of any interference.”</w:t>
      </w:r>
      <w:r>
        <w:rPr>
          <w:rStyle w:val="FootnoteReference"/>
        </w:rPr>
        <w:footnoteReference w:id="19"/>
      </w:r>
      <w:r w:rsidRPr="00A35BAA">
        <w:t xml:space="preserve">  </w:t>
      </w:r>
      <w:r w:rsidR="00154CD7">
        <w:t>We seek comment on Somerset’s analysis.</w:t>
      </w:r>
    </w:p>
    <w:p w:rsidR="00154CD7" w:rsidRDefault="00154CD7" w:rsidP="00C6736C">
      <w:pPr>
        <w:widowControl/>
        <w:ind w:firstLine="720"/>
        <w:jc w:val="left"/>
      </w:pPr>
    </w:p>
    <w:p w:rsidR="0047596A" w:rsidRDefault="006332B7" w:rsidP="0047596A">
      <w:pPr>
        <w:widowControl/>
        <w:ind w:firstLine="720"/>
        <w:jc w:val="left"/>
      </w:pPr>
      <w:r w:rsidRPr="001B66DA">
        <w:rPr>
          <w:snapToGrid/>
        </w:rPr>
        <w:lastRenderedPageBreak/>
        <w:t>We note that the Commission has opened a rulemaking proceeding on vehicular repeaters in response to a petition for rulemaking filed by Pyramid.</w:t>
      </w:r>
      <w:r w:rsidRPr="001B66DA">
        <w:rPr>
          <w:snapToGrid/>
          <w:vertAlign w:val="superscript"/>
        </w:rPr>
        <w:footnoteReference w:id="20"/>
      </w:r>
      <w:r w:rsidRPr="001B66DA">
        <w:rPr>
          <w:snapToGrid/>
        </w:rPr>
        <w:t xml:space="preserve">  The Commission sought comment on allowing vehicular repeater station operations on six frequencies in the 173 MHz band currently designated for fixed remote control and telemetry operations.</w:t>
      </w:r>
      <w:r w:rsidRPr="001B66DA">
        <w:rPr>
          <w:snapToGrid/>
          <w:vertAlign w:val="superscript"/>
        </w:rPr>
        <w:footnoteReference w:id="21"/>
      </w:r>
      <w:r w:rsidRPr="001B66DA">
        <w:rPr>
          <w:snapToGrid/>
        </w:rPr>
        <w:t xml:space="preserve">  We seek comment on whether any grant to Somerset should be conditioned on the outcome of the rulemaking proceeding.  For example, in the event that: (1) Somerset’s application is granted; (2) the Commission amends its rules to designate certain VHF frequencies for vehicular repeater use; and (3) at least one of these designated frequencies is available in Somerset’s geographic area, we seek comment on whether Somerset, upon license renewal, should be required to relocate from frequency 173.210 MHz to a newly-designated, vehicular repeater frequency if one is available.</w:t>
      </w:r>
      <w:r w:rsidRPr="001B66DA">
        <w:rPr>
          <w:snapToGrid/>
          <w:vertAlign w:val="superscript"/>
        </w:rPr>
        <w:footnoteReference w:id="22"/>
      </w:r>
      <w:r w:rsidR="001B66DA">
        <w:rPr>
          <w:snapToGrid/>
        </w:rPr>
        <w:t xml:space="preserve">  </w:t>
      </w:r>
      <w:r w:rsidR="001B66DA" w:rsidRPr="001B66DA">
        <w:rPr>
          <w:snapToGrid/>
        </w:rPr>
        <w:t xml:space="preserve">We recognize that Somerset found that none of the six telemetry and remote control channels under consideration in the </w:t>
      </w:r>
      <w:r w:rsidR="001B66DA" w:rsidRPr="001B66DA">
        <w:rPr>
          <w:i/>
          <w:snapToGrid/>
        </w:rPr>
        <w:t>Vehicular Repeater Order and NPRM</w:t>
      </w:r>
      <w:r w:rsidR="001B66DA" w:rsidRPr="001B66DA">
        <w:rPr>
          <w:snapToGrid/>
        </w:rPr>
        <w:t xml:space="preserve"> are available</w:t>
      </w:r>
      <w:r w:rsidR="001B66DA">
        <w:rPr>
          <w:snapToGrid/>
        </w:rPr>
        <w:t xml:space="preserve"> for Somerset’s use</w:t>
      </w:r>
      <w:r w:rsidR="001B66DA" w:rsidRPr="001B66DA">
        <w:rPr>
          <w:snapToGrid/>
        </w:rPr>
        <w:t xml:space="preserve"> at this time.</w:t>
      </w:r>
      <w:r w:rsidR="007E5456">
        <w:rPr>
          <w:rStyle w:val="FootnoteReference"/>
          <w:snapToGrid/>
        </w:rPr>
        <w:footnoteReference w:id="23"/>
      </w:r>
      <w:r w:rsidR="001B66DA" w:rsidRPr="001B66DA">
        <w:rPr>
          <w:snapToGrid/>
        </w:rPr>
        <w:t xml:space="preserve">  Presumably, this condition would require Somerset to reevaluate the availability of those channels at the time of Somerset’s license renewal if the </w:t>
      </w:r>
      <w:r w:rsidR="004620F1">
        <w:rPr>
          <w:snapToGrid/>
        </w:rPr>
        <w:t xml:space="preserve">Commission </w:t>
      </w:r>
      <w:r w:rsidR="001B66DA" w:rsidRPr="001B66DA">
        <w:rPr>
          <w:snapToGrid/>
        </w:rPr>
        <w:t>designates these channels for vehicular repeaters</w:t>
      </w:r>
      <w:r w:rsidR="004620F1">
        <w:rPr>
          <w:snapToGrid/>
        </w:rPr>
        <w:t xml:space="preserve"> through the </w:t>
      </w:r>
      <w:r w:rsidR="004620F1" w:rsidRPr="004620F1">
        <w:rPr>
          <w:snapToGrid/>
        </w:rPr>
        <w:t>rulemaking proceeding</w:t>
      </w:r>
      <w:r w:rsidR="001B66DA" w:rsidRPr="001B66DA">
        <w:rPr>
          <w:snapToGrid/>
        </w:rPr>
        <w:t>.</w:t>
      </w:r>
    </w:p>
    <w:p w:rsidR="0047596A" w:rsidRDefault="0047596A" w:rsidP="007A5C0B">
      <w:pPr>
        <w:widowControl/>
        <w:ind w:firstLine="720"/>
        <w:jc w:val="left"/>
        <w:rPr>
          <w:szCs w:val="22"/>
        </w:rPr>
      </w:pPr>
    </w:p>
    <w:p w:rsidR="00555461" w:rsidRPr="000469D0" w:rsidRDefault="00555461" w:rsidP="007A5C0B">
      <w:pPr>
        <w:widowControl/>
        <w:ind w:firstLine="720"/>
        <w:jc w:val="left"/>
        <w:rPr>
          <w:szCs w:val="22"/>
        </w:rPr>
      </w:pPr>
      <w:r w:rsidRPr="000469D0">
        <w:rPr>
          <w:szCs w:val="22"/>
        </w:rPr>
        <w:t xml:space="preserve">Pursuant to Sections 1.415 and 1.419 of the Commission’s rules, 47 C.F.R. §§ 1.415, 1.419, interested parties may file comments and reply comments on or before the dates indicated on the first page of this </w:t>
      </w:r>
      <w:r w:rsidRPr="000469D0">
        <w:rPr>
          <w:i/>
          <w:szCs w:val="22"/>
        </w:rPr>
        <w:t>Public Notice</w:t>
      </w:r>
      <w:r w:rsidRPr="000469D0">
        <w:rPr>
          <w:szCs w:val="22"/>
        </w:rPr>
        <w:t xml:space="preserve">.  All comments and reply comments should reference the subject Waiver Request and the DA number indicated on this </w:t>
      </w:r>
      <w:r w:rsidRPr="000469D0">
        <w:rPr>
          <w:i/>
          <w:szCs w:val="22"/>
        </w:rPr>
        <w:t>Public Notice</w:t>
      </w:r>
      <w:r w:rsidRPr="000469D0">
        <w:rPr>
          <w:szCs w:val="22"/>
        </w:rPr>
        <w:t>.  Parties may file statements and replies: (1) electronically by accessing the applicant’s file number(s) in the Commission’s Universal Service Licensing System (ULS),</w:t>
      </w:r>
      <w:r w:rsidRPr="000469D0">
        <w:rPr>
          <w:rStyle w:val="FootnoteReference"/>
          <w:szCs w:val="22"/>
        </w:rPr>
        <w:footnoteReference w:id="24"/>
      </w:r>
      <w:r w:rsidRPr="000469D0">
        <w:rPr>
          <w:szCs w:val="22"/>
        </w:rPr>
        <w:t xml:space="preserve"> or (2) by filing paper copies.</w:t>
      </w:r>
    </w:p>
    <w:p w:rsidR="00555461" w:rsidRPr="000469D0" w:rsidRDefault="00555461" w:rsidP="00F70D00">
      <w:pPr>
        <w:ind w:left="1440" w:hanging="720"/>
        <w:jc w:val="left"/>
        <w:rPr>
          <w:szCs w:val="22"/>
        </w:rPr>
      </w:pPr>
    </w:p>
    <w:p w:rsidR="00555461" w:rsidRPr="000469D0" w:rsidRDefault="00555461" w:rsidP="00E82965">
      <w:pPr>
        <w:widowControl/>
        <w:numPr>
          <w:ilvl w:val="0"/>
          <w:numId w:val="18"/>
        </w:numPr>
        <w:jc w:val="left"/>
        <w:rPr>
          <w:szCs w:val="22"/>
        </w:rPr>
      </w:pPr>
      <w:r w:rsidRPr="000469D0">
        <w:rPr>
          <w:szCs w:val="22"/>
        </w:rPr>
        <w:t>Electronic Filers:  Pleadings may be submitted electronically as follows:</w:t>
      </w:r>
    </w:p>
    <w:p w:rsidR="00555461" w:rsidRPr="000469D0" w:rsidRDefault="00555461" w:rsidP="00F70D00">
      <w:pPr>
        <w:ind w:firstLine="720"/>
        <w:jc w:val="left"/>
        <w:rPr>
          <w:szCs w:val="22"/>
        </w:rPr>
      </w:pPr>
    </w:p>
    <w:p w:rsidR="00555461" w:rsidRPr="000469D0" w:rsidRDefault="00555461" w:rsidP="00F70D00">
      <w:pPr>
        <w:ind w:firstLine="720"/>
        <w:jc w:val="left"/>
        <w:rPr>
          <w:szCs w:val="22"/>
        </w:rPr>
      </w:pPr>
      <w:r w:rsidRPr="000469D0">
        <w:rPr>
          <w:szCs w:val="22"/>
        </w:rPr>
        <w:t>From the ULS website at http://wireless.fcc.gov/uls/, begin the process of submitting a pleading by clicking on the “ULS Pleadings” link in the menu on the lower left side of the ULS web page.  The link will take you to the “</w:t>
      </w:r>
      <w:r w:rsidRPr="000469D0">
        <w:rPr>
          <w:i/>
          <w:szCs w:val="22"/>
        </w:rPr>
        <w:t>Pleading Information</w:t>
      </w:r>
      <w:r w:rsidRPr="000469D0">
        <w:rPr>
          <w:szCs w:val="22"/>
        </w:rPr>
        <w:t>” screen for “Non-docketed Pleadings” where you select “Reply” in the drop-down window for the type of pleading and then enter the pleadings filer information.  Completion of the contact information is optional. Upon completion of this screen, please note the instructions for the filing:</w:t>
      </w:r>
      <w:r w:rsidRPr="000469D0">
        <w:rPr>
          <w:i/>
          <w:szCs w:val="22"/>
        </w:rPr>
        <w:t xml:space="preserve"> “Pleadings must be dated and must include a signature, in this instance an electronic signature, and the address and phone number of the signing party.”</w:t>
      </w:r>
      <w:r w:rsidRPr="000469D0">
        <w:rPr>
          <w:rStyle w:val="FootnoteReference"/>
          <w:szCs w:val="22"/>
        </w:rPr>
        <w:footnoteReference w:id="25"/>
      </w:r>
      <w:r w:rsidRPr="000469D0">
        <w:rPr>
          <w:i/>
          <w:szCs w:val="22"/>
        </w:rPr>
        <w:t xml:space="preserve">  </w:t>
      </w:r>
      <w:r w:rsidRPr="000469D0">
        <w:rPr>
          <w:szCs w:val="22"/>
        </w:rPr>
        <w:t>Click on “CONTINUE.”</w:t>
      </w:r>
    </w:p>
    <w:p w:rsidR="00555461" w:rsidRPr="000469D0" w:rsidRDefault="00555461" w:rsidP="00F70D00">
      <w:pPr>
        <w:ind w:firstLine="720"/>
        <w:jc w:val="left"/>
        <w:rPr>
          <w:szCs w:val="22"/>
        </w:rPr>
      </w:pPr>
    </w:p>
    <w:p w:rsidR="00555461" w:rsidRPr="000469D0" w:rsidRDefault="00555461" w:rsidP="00F70D00">
      <w:pPr>
        <w:ind w:firstLine="720"/>
        <w:jc w:val="left"/>
        <w:rPr>
          <w:szCs w:val="22"/>
        </w:rPr>
      </w:pPr>
      <w:r w:rsidRPr="000469D0">
        <w:rPr>
          <w:szCs w:val="22"/>
        </w:rPr>
        <w:t xml:space="preserve">The second step is to complete the </w:t>
      </w:r>
      <w:r w:rsidRPr="000469D0">
        <w:rPr>
          <w:i/>
          <w:szCs w:val="22"/>
        </w:rPr>
        <w:t xml:space="preserve">File Numbers/Call Signs </w:t>
      </w:r>
      <w:r w:rsidRPr="000469D0">
        <w:rPr>
          <w:szCs w:val="22"/>
        </w:rPr>
        <w:t>screen.  Click if the pleading pertains to a File Number or Call Sign and enter the File Number or Call Sign.  Please note that you must enter a File Number or Call Sign to continue.  If the pleading pertains to multiple applications or licenses, you must enter each File Number or Call Sign as appropriate.  After clicking the “SUBMIT” button, the screen will update to show all the File Numbers/Call Signs associated with the pleading.  At this time, you may delete selected File Numbers/Call Signs from the page before continuing.</w:t>
      </w:r>
    </w:p>
    <w:p w:rsidR="00555461" w:rsidRPr="000469D0" w:rsidRDefault="00555461" w:rsidP="00F70D00">
      <w:pPr>
        <w:jc w:val="left"/>
        <w:rPr>
          <w:szCs w:val="22"/>
        </w:rPr>
      </w:pPr>
    </w:p>
    <w:p w:rsidR="00555461" w:rsidRPr="000469D0" w:rsidRDefault="00555461" w:rsidP="00F70D00">
      <w:pPr>
        <w:ind w:firstLine="720"/>
        <w:jc w:val="left"/>
        <w:rPr>
          <w:szCs w:val="22"/>
        </w:rPr>
      </w:pPr>
      <w:r w:rsidRPr="000469D0">
        <w:rPr>
          <w:szCs w:val="22"/>
        </w:rPr>
        <w:t xml:space="preserve">The third step is to complete the </w:t>
      </w:r>
      <w:r w:rsidRPr="000469D0">
        <w:rPr>
          <w:i/>
          <w:szCs w:val="22"/>
        </w:rPr>
        <w:t>Attach File</w:t>
      </w:r>
      <w:r w:rsidRPr="000469D0">
        <w:rPr>
          <w:szCs w:val="22"/>
        </w:rPr>
        <w:t xml:space="preserve"> screen to attach the pleading document.  Use the drop down box to select Pleading or Confidential Pleading.  The “BROWSE” button opens a file upload window where you will locate and select your pleading file.  The Description field allows you to enter a brief description for the pleading.  Click the “ADD ATTACHMENT” button to upload your pleading.  You may submit up to thirty files for each pleading but each file must be smaller than 10 MB in size.  You also have the opportunity to delete any selected file from the pleading.</w:t>
      </w:r>
    </w:p>
    <w:p w:rsidR="00555461" w:rsidRPr="000469D0" w:rsidRDefault="00555461" w:rsidP="00F70D00">
      <w:pPr>
        <w:jc w:val="left"/>
        <w:rPr>
          <w:szCs w:val="22"/>
        </w:rPr>
      </w:pPr>
    </w:p>
    <w:p w:rsidR="00555461" w:rsidRPr="000469D0" w:rsidRDefault="00555461" w:rsidP="00F70D00">
      <w:pPr>
        <w:ind w:firstLine="720"/>
        <w:jc w:val="left"/>
        <w:rPr>
          <w:szCs w:val="22"/>
        </w:rPr>
      </w:pPr>
      <w:r w:rsidRPr="000469D0">
        <w:rPr>
          <w:szCs w:val="22"/>
        </w:rPr>
        <w:t xml:space="preserve">Finally, to complete your electronic pleading submission, click on the “SUBMIT PLEADING” button and the </w:t>
      </w:r>
      <w:r w:rsidRPr="000469D0">
        <w:rPr>
          <w:i/>
          <w:szCs w:val="22"/>
        </w:rPr>
        <w:t>Confirmation</w:t>
      </w:r>
      <w:r w:rsidRPr="000469D0">
        <w:rPr>
          <w:szCs w:val="22"/>
        </w:rPr>
        <w:t xml:space="preserve"> screen will be displayed.  The </w:t>
      </w:r>
      <w:r w:rsidRPr="000469D0">
        <w:rPr>
          <w:i/>
          <w:szCs w:val="22"/>
        </w:rPr>
        <w:t>Confirmation</w:t>
      </w:r>
      <w:r w:rsidRPr="000469D0">
        <w:rPr>
          <w:szCs w:val="22"/>
        </w:rPr>
        <w:t xml:space="preserve"> screen will display your Confirmation Number as well as your entered pleadings information.  You may print this page for your records by selecting the Print Page link at the top of the page and have the option of submitting another pleading or returning to the ULS website by selecting a link at the bottom of the page.</w:t>
      </w:r>
    </w:p>
    <w:p w:rsidR="00555461" w:rsidRPr="000469D0" w:rsidRDefault="00555461" w:rsidP="00F70D00">
      <w:pPr>
        <w:ind w:firstLine="720"/>
        <w:jc w:val="left"/>
        <w:rPr>
          <w:szCs w:val="22"/>
        </w:rPr>
      </w:pPr>
    </w:p>
    <w:p w:rsidR="00555461" w:rsidRPr="000469D0" w:rsidRDefault="00555461" w:rsidP="00F70D00">
      <w:pPr>
        <w:ind w:firstLine="720"/>
        <w:jc w:val="left"/>
        <w:rPr>
          <w:szCs w:val="22"/>
        </w:rPr>
      </w:pPr>
      <w:r w:rsidRPr="000469D0">
        <w:rPr>
          <w:szCs w:val="22"/>
        </w:rPr>
        <w:t>The ULS Application and License Search results will display pleadings under the ADMIN tab when a comment or reply comment has been filed.  Users can view the pleading by clicking on the link for the specific comment or reply comment in the Description field.  The general public will not be able to view confidential pleadings.</w:t>
      </w:r>
    </w:p>
    <w:p w:rsidR="00555461" w:rsidRPr="000469D0" w:rsidRDefault="00555461" w:rsidP="00F70D00">
      <w:pPr>
        <w:jc w:val="left"/>
        <w:rPr>
          <w:szCs w:val="22"/>
        </w:rPr>
      </w:pPr>
    </w:p>
    <w:p w:rsidR="00555461" w:rsidRPr="000469D0" w:rsidRDefault="00555461" w:rsidP="00F70D00">
      <w:pPr>
        <w:ind w:firstLine="720"/>
        <w:jc w:val="left"/>
        <w:rPr>
          <w:szCs w:val="22"/>
        </w:rPr>
      </w:pPr>
      <w:r w:rsidRPr="000469D0">
        <w:rPr>
          <w:szCs w:val="22"/>
        </w:rPr>
        <w:t>For additional information or assistance on how to file a comment or reply comment or other relevant pleading, you may visit the Web at http://esupport.fcc.gov.  You may also call the FCC ULS Customer Support Center at (877) 480-3201 and select option 2, or (888) 225-5322 and select Option 2, or (717) 338-2888.  For TTY, please call (717) 338-2824.  Assistance from the FCC ULS Customer Support Center is available between the hours of 8 a.m. to 6:00 p.m. Eastern Time, Monday through Friday (except Federal holidays).  To provide quality service and ensure security, all telephone calls to FCC ULS Customer Support Center are recorded.</w:t>
      </w:r>
    </w:p>
    <w:p w:rsidR="00555461" w:rsidRPr="000469D0" w:rsidRDefault="00555461" w:rsidP="00F70D00">
      <w:pPr>
        <w:jc w:val="left"/>
        <w:rPr>
          <w:szCs w:val="22"/>
        </w:rPr>
      </w:pPr>
    </w:p>
    <w:p w:rsidR="00555461" w:rsidRPr="000469D0" w:rsidRDefault="00555461" w:rsidP="006754D8">
      <w:pPr>
        <w:widowControl/>
        <w:numPr>
          <w:ilvl w:val="0"/>
          <w:numId w:val="14"/>
        </w:numPr>
        <w:jc w:val="left"/>
        <w:rPr>
          <w:szCs w:val="22"/>
        </w:rPr>
      </w:pPr>
      <w:r w:rsidRPr="000469D0">
        <w:rPr>
          <w:szCs w:val="22"/>
        </w:rPr>
        <w:t xml:space="preserve">Paper Filers:  Parties who choose to file by paper must submit an original and four copies of each filing.  </w:t>
      </w:r>
    </w:p>
    <w:p w:rsidR="00555461" w:rsidRPr="000469D0" w:rsidRDefault="00555461" w:rsidP="00F70D00">
      <w:pPr>
        <w:jc w:val="left"/>
        <w:rPr>
          <w:szCs w:val="22"/>
        </w:rPr>
      </w:pPr>
    </w:p>
    <w:p w:rsidR="00555461" w:rsidRPr="000469D0" w:rsidRDefault="00555461" w:rsidP="00F70D00">
      <w:pPr>
        <w:ind w:firstLine="720"/>
        <w:jc w:val="left"/>
        <w:rPr>
          <w:szCs w:val="22"/>
        </w:rPr>
      </w:pPr>
      <w:r w:rsidRPr="000469D0">
        <w:rPr>
          <w:szCs w:val="22"/>
        </w:rPr>
        <w:t>Filings can be sent by hand or messenger delivery, by commercial overnight courier, or by first-class or overnight U.S. Postal Service mail (although we continue to experience delays in receiving U.S. Postal Service mail).  All filings must be addressed to the Commission’s Secretary, Office of the Secretary, Federal Communications Commission.</w:t>
      </w:r>
    </w:p>
    <w:p w:rsidR="00555461" w:rsidRPr="000469D0" w:rsidRDefault="00555461" w:rsidP="00F70D00">
      <w:pPr>
        <w:jc w:val="left"/>
        <w:rPr>
          <w:szCs w:val="22"/>
        </w:rPr>
      </w:pPr>
    </w:p>
    <w:p w:rsidR="00555461" w:rsidRPr="000469D0" w:rsidRDefault="00B052C4" w:rsidP="006754D8">
      <w:pPr>
        <w:widowControl/>
        <w:numPr>
          <w:ilvl w:val="0"/>
          <w:numId w:val="16"/>
        </w:numPr>
        <w:tabs>
          <w:tab w:val="clear" w:pos="1440"/>
          <w:tab w:val="num" w:pos="1080"/>
        </w:tabs>
        <w:autoSpaceDE w:val="0"/>
        <w:autoSpaceDN w:val="0"/>
        <w:adjustRightInd w:val="0"/>
        <w:ind w:left="1080"/>
        <w:jc w:val="left"/>
        <w:rPr>
          <w:szCs w:val="22"/>
        </w:rPr>
      </w:pPr>
      <w:r>
        <w:rPr>
          <w:szCs w:val="22"/>
        </w:rPr>
        <w:t>A</w:t>
      </w:r>
      <w:r w:rsidR="00555461" w:rsidRPr="000469D0">
        <w:rPr>
          <w:szCs w:val="22"/>
        </w:rPr>
        <w:t>ll hand-delivered or messenger-delivered paper filings for the Commission’s Secretary must be delivered to FCC Headquarters at 445 12th St., SW, Room TW-A325, Washington, DC 20554.  The filing hours at this locat</w:t>
      </w:r>
      <w:r w:rsidR="008F2E7A">
        <w:rPr>
          <w:szCs w:val="22"/>
        </w:rPr>
        <w:t>ion are 8:00 a.m. to 7:00 p.m.</w:t>
      </w:r>
      <w:r w:rsidR="007C1515">
        <w:rPr>
          <w:szCs w:val="22"/>
        </w:rPr>
        <w:t xml:space="preserve">  </w:t>
      </w:r>
      <w:r w:rsidR="007C1515" w:rsidRPr="000469D0">
        <w:rPr>
          <w:szCs w:val="22"/>
        </w:rPr>
        <w:t xml:space="preserve">All hand deliveries must be held together with rubber bands or fasteners. </w:t>
      </w:r>
      <w:r w:rsidR="007C1515">
        <w:rPr>
          <w:szCs w:val="22"/>
        </w:rPr>
        <w:t xml:space="preserve"> </w:t>
      </w:r>
      <w:r w:rsidR="007C1515" w:rsidRPr="000469D0">
        <w:rPr>
          <w:szCs w:val="22"/>
        </w:rPr>
        <w:t>Any envelopes</w:t>
      </w:r>
      <w:r w:rsidR="007C1515">
        <w:rPr>
          <w:szCs w:val="22"/>
        </w:rPr>
        <w:t xml:space="preserve"> and boxes</w:t>
      </w:r>
      <w:r w:rsidR="007C1515" w:rsidRPr="000469D0">
        <w:rPr>
          <w:szCs w:val="22"/>
        </w:rPr>
        <w:t xml:space="preserve"> must be disposed of before entering the building.  </w:t>
      </w:r>
    </w:p>
    <w:p w:rsidR="00555461" w:rsidRPr="000469D0" w:rsidRDefault="00555461" w:rsidP="006754D8">
      <w:pPr>
        <w:tabs>
          <w:tab w:val="num" w:pos="1080"/>
        </w:tabs>
        <w:ind w:left="1080"/>
        <w:jc w:val="left"/>
        <w:rPr>
          <w:szCs w:val="22"/>
        </w:rPr>
      </w:pPr>
    </w:p>
    <w:p w:rsidR="00555461" w:rsidRPr="000469D0" w:rsidRDefault="00555461" w:rsidP="006754D8">
      <w:pPr>
        <w:widowControl/>
        <w:numPr>
          <w:ilvl w:val="0"/>
          <w:numId w:val="16"/>
        </w:numPr>
        <w:tabs>
          <w:tab w:val="clear" w:pos="1440"/>
          <w:tab w:val="num" w:pos="1080"/>
        </w:tabs>
        <w:autoSpaceDE w:val="0"/>
        <w:autoSpaceDN w:val="0"/>
        <w:adjustRightInd w:val="0"/>
        <w:ind w:left="1080"/>
        <w:jc w:val="left"/>
        <w:rPr>
          <w:color w:val="000000"/>
          <w:szCs w:val="22"/>
        </w:rPr>
      </w:pPr>
      <w:r w:rsidRPr="000469D0">
        <w:rPr>
          <w:szCs w:val="22"/>
        </w:rPr>
        <w:t>Commercial overnight mail (other than U.S. Postal Service Express Mail and Priority Mail) must be sent to 9300 East Hampton Drive, Capitol Heights, MD  20743</w:t>
      </w:r>
      <w:r w:rsidRPr="000469D0">
        <w:rPr>
          <w:color w:val="000000"/>
          <w:szCs w:val="22"/>
        </w:rPr>
        <w:t xml:space="preserve">. </w:t>
      </w:r>
    </w:p>
    <w:p w:rsidR="00555461" w:rsidRPr="000469D0" w:rsidRDefault="00555461" w:rsidP="006754D8">
      <w:pPr>
        <w:tabs>
          <w:tab w:val="num" w:pos="1080"/>
        </w:tabs>
        <w:autoSpaceDE w:val="0"/>
        <w:autoSpaceDN w:val="0"/>
        <w:adjustRightInd w:val="0"/>
        <w:ind w:left="1080"/>
        <w:jc w:val="left"/>
        <w:rPr>
          <w:color w:val="000000"/>
          <w:szCs w:val="22"/>
        </w:rPr>
      </w:pPr>
    </w:p>
    <w:p w:rsidR="00555461" w:rsidRPr="000469D0" w:rsidRDefault="00555461" w:rsidP="006754D8">
      <w:pPr>
        <w:widowControl/>
        <w:numPr>
          <w:ilvl w:val="0"/>
          <w:numId w:val="16"/>
        </w:numPr>
        <w:tabs>
          <w:tab w:val="clear" w:pos="1440"/>
          <w:tab w:val="num" w:pos="1080"/>
        </w:tabs>
        <w:autoSpaceDE w:val="0"/>
        <w:autoSpaceDN w:val="0"/>
        <w:adjustRightInd w:val="0"/>
        <w:ind w:left="1080"/>
        <w:jc w:val="left"/>
        <w:rPr>
          <w:color w:val="000000"/>
          <w:szCs w:val="22"/>
        </w:rPr>
      </w:pPr>
      <w:r w:rsidRPr="000469D0">
        <w:rPr>
          <w:szCs w:val="22"/>
        </w:rPr>
        <w:t>U.S. Postal Service first-class, Express, and Priority mail must be addressed to 445 12</w:t>
      </w:r>
      <w:r w:rsidRPr="000469D0">
        <w:rPr>
          <w:szCs w:val="22"/>
          <w:vertAlign w:val="superscript"/>
        </w:rPr>
        <w:t>th</w:t>
      </w:r>
      <w:r w:rsidRPr="000469D0">
        <w:rPr>
          <w:szCs w:val="22"/>
        </w:rPr>
        <w:t xml:space="preserve"> Street, SW, Washington DC  20554</w:t>
      </w:r>
      <w:r w:rsidRPr="000469D0">
        <w:rPr>
          <w:color w:val="000000"/>
          <w:szCs w:val="22"/>
        </w:rPr>
        <w:t>.</w:t>
      </w:r>
    </w:p>
    <w:p w:rsidR="00555461" w:rsidRPr="000469D0" w:rsidRDefault="00555461" w:rsidP="00F70D00">
      <w:pPr>
        <w:jc w:val="left"/>
        <w:rPr>
          <w:szCs w:val="22"/>
        </w:rPr>
      </w:pPr>
    </w:p>
    <w:p w:rsidR="00555461" w:rsidRPr="000469D0" w:rsidRDefault="00555461" w:rsidP="00F70D00">
      <w:pPr>
        <w:jc w:val="left"/>
        <w:rPr>
          <w:szCs w:val="22"/>
        </w:rPr>
      </w:pPr>
      <w:r w:rsidRPr="000469D0">
        <w:rPr>
          <w:szCs w:val="22"/>
        </w:rPr>
        <w:tab/>
        <w:t>The application(s), waiver request, and comments and reply comments can be accessed electronically via the Commission’s Universal Licensing System, http://wireless.fcc.gov/uls.  The full text of the Waiver Request, comments and reply comments will be available for inspection and duplication during regular business hours in the FCC Reference Information Center (RIC) of the Consumer and Governmental Affairs Bureau, Federal Communications Commission, 445 12</w:t>
      </w:r>
      <w:r w:rsidRPr="000469D0">
        <w:rPr>
          <w:szCs w:val="22"/>
          <w:vertAlign w:val="superscript"/>
        </w:rPr>
        <w:t>th</w:t>
      </w:r>
      <w:r w:rsidRPr="000469D0">
        <w:rPr>
          <w:szCs w:val="22"/>
        </w:rPr>
        <w:t xml:space="preserve"> Street, S.W., Room CY-A257, Washington, DC  20554.  Copies may be purchased from the Commission’s duplicating contractor, Best Copy and Printing, Inc. (BCPI), Portals II, 445 12</w:t>
      </w:r>
      <w:r w:rsidRPr="000469D0">
        <w:rPr>
          <w:szCs w:val="22"/>
          <w:vertAlign w:val="superscript"/>
        </w:rPr>
        <w:t>th</w:t>
      </w:r>
      <w:r w:rsidRPr="000469D0">
        <w:rPr>
          <w:szCs w:val="22"/>
        </w:rPr>
        <w:t xml:space="preserve"> Street, S.W., Room CY-B402, Washington, DC  20554.  Customers may contact BCPI through its web site, http://www.bcpiweb.com, by email at fcc@bcpiweb.com, by phone at (202) 488-5300 or (800) 378-3160, or by facsimile at (202) 488-5563.  For further information regarding the public reference file for this waiver request, contact </w:t>
      </w:r>
      <w:r w:rsidRPr="000469D0">
        <w:rPr>
          <w:rFonts w:eastAsia="MS Mincho"/>
          <w:color w:val="000000"/>
          <w:szCs w:val="22"/>
          <w:lang w:eastAsia="ja-JP"/>
        </w:rPr>
        <w:t>Lisa Williams, RIC, (202) 418-1352</w:t>
      </w:r>
      <w:r w:rsidRPr="000469D0">
        <w:rPr>
          <w:szCs w:val="22"/>
        </w:rPr>
        <w:t xml:space="preserve">. </w:t>
      </w:r>
    </w:p>
    <w:p w:rsidR="00555461" w:rsidRPr="000469D0" w:rsidRDefault="00555461" w:rsidP="00F70D00">
      <w:pPr>
        <w:jc w:val="left"/>
        <w:rPr>
          <w:szCs w:val="22"/>
        </w:rPr>
      </w:pPr>
    </w:p>
    <w:p w:rsidR="00555461" w:rsidRPr="000469D0" w:rsidRDefault="00555461" w:rsidP="00F70D00">
      <w:pPr>
        <w:jc w:val="left"/>
        <w:rPr>
          <w:szCs w:val="22"/>
        </w:rPr>
      </w:pPr>
      <w:r w:rsidRPr="000469D0">
        <w:rPr>
          <w:szCs w:val="22"/>
        </w:rPr>
        <w:tab/>
        <w:t xml:space="preserve">Because of the policy implications and potential impact of this proceeding on persons not party to these Applications, it is in the public interest to treat this case as a permit-but-disclose proceeding under the </w:t>
      </w:r>
      <w:r w:rsidRPr="000469D0">
        <w:rPr>
          <w:i/>
          <w:szCs w:val="22"/>
        </w:rPr>
        <w:t>ex parte</w:t>
      </w:r>
      <w:r w:rsidRPr="000469D0">
        <w:rPr>
          <w:szCs w:val="22"/>
        </w:rPr>
        <w:t xml:space="preserve"> rules.  </w:t>
      </w:r>
      <w:r w:rsidRPr="000469D0">
        <w:rPr>
          <w:i/>
          <w:szCs w:val="22"/>
        </w:rPr>
        <w:t>See</w:t>
      </w:r>
      <w:r w:rsidRPr="000469D0">
        <w:rPr>
          <w:szCs w:val="22"/>
        </w:rPr>
        <w:t xml:space="preserve"> Sections 1.1200(a) and 1.1206 of the Commission’s rules, 47 C.F.R. §§ 1.1200(a) and 1.1206.  Therefore, subsequent to the release of this </w:t>
      </w:r>
      <w:r w:rsidRPr="000469D0">
        <w:rPr>
          <w:i/>
          <w:szCs w:val="22"/>
        </w:rPr>
        <w:t>Public Notice, ex parte</w:t>
      </w:r>
      <w:r w:rsidRPr="000469D0">
        <w:rPr>
          <w:szCs w:val="22"/>
        </w:rPr>
        <w:t xml:space="preserve"> presentations that are made with respect to the issues involved in the subject waiver request will be allowed, but must be disclosed in accordance with the requirements of Section 1.1206(b) of the Commission’s rules, 47 C.F.R. § 1.1206(b).  </w:t>
      </w:r>
    </w:p>
    <w:p w:rsidR="00555461" w:rsidRPr="000469D0" w:rsidRDefault="00555461" w:rsidP="00F70D00">
      <w:pPr>
        <w:jc w:val="left"/>
        <w:rPr>
          <w:szCs w:val="22"/>
        </w:rPr>
      </w:pPr>
    </w:p>
    <w:p w:rsidR="00555461" w:rsidRPr="000469D0" w:rsidRDefault="00555461" w:rsidP="00F70D00">
      <w:pPr>
        <w:ind w:firstLine="720"/>
        <w:jc w:val="left"/>
        <w:rPr>
          <w:szCs w:val="22"/>
        </w:rPr>
      </w:pPr>
      <w:r w:rsidRPr="000469D0">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555461" w:rsidRPr="000469D0" w:rsidRDefault="00555461" w:rsidP="00F70D00">
      <w:pPr>
        <w:jc w:val="left"/>
        <w:rPr>
          <w:szCs w:val="22"/>
        </w:rPr>
      </w:pPr>
    </w:p>
    <w:p w:rsidR="00555461" w:rsidRPr="000469D0" w:rsidRDefault="00555461" w:rsidP="00F70D00">
      <w:pPr>
        <w:ind w:firstLine="720"/>
        <w:jc w:val="left"/>
        <w:rPr>
          <w:rFonts w:eastAsia="MS Mincho"/>
          <w:szCs w:val="22"/>
        </w:rPr>
      </w:pPr>
      <w:r w:rsidRPr="000469D0">
        <w:rPr>
          <w:rFonts w:eastAsia="MS Mincho"/>
          <w:szCs w:val="22"/>
        </w:rPr>
        <w:t xml:space="preserve">For further information, contact Mr. </w:t>
      </w:r>
      <w:r w:rsidRPr="000469D0">
        <w:rPr>
          <w:szCs w:val="22"/>
        </w:rPr>
        <w:t>David Siehl</w:t>
      </w:r>
      <w:r w:rsidRPr="000469D0">
        <w:rPr>
          <w:rFonts w:eastAsia="MS Mincho"/>
          <w:szCs w:val="22"/>
        </w:rPr>
        <w:t xml:space="preserve"> of the Policy</w:t>
      </w:r>
      <w:r>
        <w:rPr>
          <w:rFonts w:eastAsia="MS Mincho"/>
          <w:szCs w:val="22"/>
        </w:rPr>
        <w:t xml:space="preserve"> and Licensing</w:t>
      </w:r>
      <w:r w:rsidRPr="000469D0">
        <w:rPr>
          <w:rFonts w:eastAsia="MS Mincho"/>
          <w:szCs w:val="22"/>
        </w:rPr>
        <w:t xml:space="preserve"> Division, Public Safety and Homeland Security Bureau at (202) 418-1313 (voice), (202) 418-7233 (tty), or via e-mail to </w:t>
      </w:r>
      <w:r w:rsidRPr="000469D0">
        <w:rPr>
          <w:szCs w:val="22"/>
        </w:rPr>
        <w:t>David.Siehl</w:t>
      </w:r>
      <w:r w:rsidRPr="000469D0">
        <w:rPr>
          <w:rFonts w:eastAsia="MS Mincho"/>
          <w:szCs w:val="22"/>
        </w:rPr>
        <w:t xml:space="preserve">@fcc.gov. </w:t>
      </w:r>
    </w:p>
    <w:p w:rsidR="00555461" w:rsidRPr="000469D0" w:rsidRDefault="00555461" w:rsidP="00F70D00">
      <w:pPr>
        <w:autoSpaceDE w:val="0"/>
        <w:autoSpaceDN w:val="0"/>
        <w:adjustRightInd w:val="0"/>
        <w:jc w:val="left"/>
        <w:rPr>
          <w:color w:val="000000"/>
          <w:szCs w:val="22"/>
        </w:rPr>
      </w:pPr>
    </w:p>
    <w:p w:rsidR="00555461" w:rsidRPr="000469D0" w:rsidRDefault="00555461" w:rsidP="00F70D00">
      <w:pPr>
        <w:ind w:firstLine="720"/>
        <w:jc w:val="left"/>
        <w:rPr>
          <w:szCs w:val="22"/>
        </w:rPr>
      </w:pPr>
      <w:r w:rsidRPr="000469D0">
        <w:rPr>
          <w:szCs w:val="22"/>
        </w:rPr>
        <w:t>By the Deputy Chief, Public Safety and Homeland Security Bureau.</w:t>
      </w:r>
    </w:p>
    <w:p w:rsidR="00555461" w:rsidRPr="000469D0" w:rsidRDefault="00555461" w:rsidP="00F70D00">
      <w:pPr>
        <w:autoSpaceDE w:val="0"/>
        <w:autoSpaceDN w:val="0"/>
        <w:adjustRightInd w:val="0"/>
        <w:jc w:val="left"/>
        <w:rPr>
          <w:color w:val="000000"/>
          <w:szCs w:val="22"/>
        </w:rPr>
      </w:pPr>
    </w:p>
    <w:p w:rsidR="00262CE9" w:rsidRPr="00555461" w:rsidRDefault="00555461" w:rsidP="00555461">
      <w:pPr>
        <w:jc w:val="center"/>
        <w:rPr>
          <w:szCs w:val="22"/>
        </w:rPr>
      </w:pPr>
      <w:r w:rsidRPr="000469D0">
        <w:rPr>
          <w:szCs w:val="22"/>
        </w:rPr>
        <w:t>- FCC -</w:t>
      </w:r>
    </w:p>
    <w:sectPr w:rsidR="00262CE9" w:rsidRPr="00555461">
      <w:headerReference w:type="first" r:id="rId14"/>
      <w:endnotePr>
        <w:numFmt w:val="decimal"/>
      </w:endnotePr>
      <w:type w:val="continuous"/>
      <w:pgSz w:w="12240" w:h="15840"/>
      <w:pgMar w:top="1440" w:right="1440" w:bottom="1170" w:left="1440" w:header="72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3D4" w:rsidRDefault="00A413D4">
      <w:pPr>
        <w:spacing w:line="20" w:lineRule="exact"/>
      </w:pPr>
    </w:p>
  </w:endnote>
  <w:endnote w:type="continuationSeparator" w:id="0">
    <w:p w:rsidR="00A413D4" w:rsidRDefault="00A413D4">
      <w:r>
        <w:t xml:space="preserve"> </w:t>
      </w:r>
    </w:p>
  </w:endnote>
  <w:endnote w:type="continuationNotice" w:id="1">
    <w:p w:rsidR="00A413D4" w:rsidRDefault="00A413D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s Gothic MT">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E9" w:rsidRDefault="00262C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62CE9" w:rsidRDefault="00262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E9" w:rsidRDefault="00262C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44DE">
      <w:rPr>
        <w:rStyle w:val="PageNumber"/>
        <w:noProof/>
      </w:rPr>
      <w:t>2</w:t>
    </w:r>
    <w:r>
      <w:rPr>
        <w:rStyle w:val="PageNumber"/>
      </w:rPr>
      <w:fldChar w:fldCharType="end"/>
    </w:r>
  </w:p>
  <w:p w:rsidR="00262CE9" w:rsidRDefault="00262C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E9" w:rsidRDefault="00262CE9">
    <w:pPr>
      <w:pStyle w:val="Footer"/>
      <w:jc w:val="center"/>
      <w:rPr>
        <w:b/>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3D4" w:rsidRDefault="00A413D4">
      <w:r>
        <w:separator/>
      </w:r>
    </w:p>
  </w:footnote>
  <w:footnote w:type="continuationSeparator" w:id="0">
    <w:p w:rsidR="00A413D4" w:rsidRDefault="00A413D4">
      <w:r>
        <w:continuationSeparator/>
      </w:r>
    </w:p>
  </w:footnote>
  <w:footnote w:id="1">
    <w:p w:rsidR="009A7B7A" w:rsidRPr="007C3E87" w:rsidRDefault="009A7B7A">
      <w:pPr>
        <w:pStyle w:val="FootnoteText"/>
      </w:pPr>
      <w:r>
        <w:rPr>
          <w:rStyle w:val="FootnoteReference"/>
        </w:rPr>
        <w:footnoteRef/>
      </w:r>
      <w:r>
        <w:t xml:space="preserve"> </w:t>
      </w:r>
      <w:r w:rsidR="000D226E">
        <w:t xml:space="preserve">File No. </w:t>
      </w:r>
      <w:r w:rsidR="00A35BAA" w:rsidRPr="00A35BAA">
        <w:t>0005778484</w:t>
      </w:r>
      <w:r w:rsidR="000D226E">
        <w:t xml:space="preserve"> (filed </w:t>
      </w:r>
      <w:r w:rsidR="000E0348">
        <w:t>May 14, 2013</w:t>
      </w:r>
      <w:r w:rsidR="0039132F">
        <w:t xml:space="preserve">, amended </w:t>
      </w:r>
      <w:r w:rsidR="000E0348">
        <w:t>June 28, 2013</w:t>
      </w:r>
      <w:r w:rsidR="006E5BB3">
        <w:t xml:space="preserve"> and Sept. 6, 2013</w:t>
      </w:r>
      <w:r w:rsidR="000D226E">
        <w:t xml:space="preserve">), attached </w:t>
      </w:r>
      <w:r w:rsidR="000E0348">
        <w:t>“</w:t>
      </w:r>
      <w:r w:rsidR="000D226E">
        <w:t>Waiver</w:t>
      </w:r>
      <w:r w:rsidR="004C0749">
        <w:t xml:space="preserve"> </w:t>
      </w:r>
      <w:r w:rsidR="000E0348">
        <w:t>Request for Vehicular Mobile Repeater in the Public Safety 173 MHz Band”</w:t>
      </w:r>
      <w:r w:rsidR="006E5BB3">
        <w:t xml:space="preserve"> (filed Sept. 6, 2013)</w:t>
      </w:r>
      <w:r w:rsidR="000E0348">
        <w:t xml:space="preserve"> </w:t>
      </w:r>
      <w:r w:rsidR="000D226E">
        <w:t>(Waiver Request).</w:t>
      </w:r>
    </w:p>
  </w:footnote>
  <w:footnote w:id="2">
    <w:p w:rsidR="007F1CEE" w:rsidRDefault="007F1CEE" w:rsidP="007F1CEE">
      <w:pPr>
        <w:pStyle w:val="FootnoteText"/>
      </w:pPr>
      <w:r>
        <w:rPr>
          <w:rStyle w:val="FootnoteReference"/>
        </w:rPr>
        <w:footnoteRef/>
      </w:r>
      <w:r>
        <w:t xml:space="preserve"> </w:t>
      </w:r>
      <w:r w:rsidRPr="009F0F01">
        <w:t>47 C.F.R. § 90.20(d)</w:t>
      </w:r>
      <w:r>
        <w:t xml:space="preserve">(34), (36), </w:t>
      </w:r>
      <w:r w:rsidRPr="009F0F01">
        <w:t>(54)</w:t>
      </w:r>
      <w:r>
        <w:t>.</w:t>
      </w:r>
    </w:p>
  </w:footnote>
  <w:footnote w:id="3">
    <w:p w:rsidR="007F1CEE" w:rsidRPr="00E72334" w:rsidRDefault="007F1CEE" w:rsidP="007F1CEE">
      <w:pPr>
        <w:pStyle w:val="FootnoteText"/>
      </w:pPr>
      <w:r>
        <w:rPr>
          <w:rStyle w:val="FootnoteReference"/>
        </w:rPr>
        <w:footnoteRef/>
      </w:r>
      <w:r>
        <w:t xml:space="preserve"> Waiver Request at 1.  </w:t>
      </w:r>
      <w:r>
        <w:rPr>
          <w:i/>
        </w:rPr>
        <w:t>See also</w:t>
      </w:r>
      <w:r>
        <w:t xml:space="preserve"> </w:t>
      </w:r>
      <w:r w:rsidRPr="00E72334">
        <w:t xml:space="preserve">File No. </w:t>
      </w:r>
      <w:r w:rsidRPr="00A35BAA">
        <w:t>0005778484</w:t>
      </w:r>
      <w:r>
        <w:t>.</w:t>
      </w:r>
    </w:p>
  </w:footnote>
  <w:footnote w:id="4">
    <w:p w:rsidR="007F42B9" w:rsidRDefault="007F42B9">
      <w:pPr>
        <w:pStyle w:val="FootnoteText"/>
      </w:pPr>
      <w:r>
        <w:rPr>
          <w:rStyle w:val="FootnoteReference"/>
        </w:rPr>
        <w:footnoteRef/>
      </w:r>
      <w:r>
        <w:t xml:space="preserve"> </w:t>
      </w:r>
      <w:r w:rsidR="00A35BAA" w:rsidRPr="00A35BAA">
        <w:t>Waiver Request at</w:t>
      </w:r>
      <w:r w:rsidR="00A35BAA" w:rsidRPr="00A35BAA">
        <w:rPr>
          <w:i/>
        </w:rPr>
        <w:t xml:space="preserve"> </w:t>
      </w:r>
      <w:r w:rsidR="004807F3">
        <w:t xml:space="preserve">2.  </w:t>
      </w:r>
      <w:r w:rsidR="004807F3" w:rsidRPr="004807F3">
        <w:rPr>
          <w:i/>
        </w:rPr>
        <w:t>See also</w:t>
      </w:r>
      <w:r w:rsidR="004807F3">
        <w:t xml:space="preserve"> </w:t>
      </w:r>
      <w:r>
        <w:t>47 C.F.R. § 1.925.</w:t>
      </w:r>
    </w:p>
  </w:footnote>
  <w:footnote w:id="5">
    <w:p w:rsidR="006E5BB3" w:rsidRPr="006E5BB3" w:rsidRDefault="006E5BB3">
      <w:pPr>
        <w:pStyle w:val="FootnoteText"/>
      </w:pPr>
      <w:r>
        <w:rPr>
          <w:rStyle w:val="FootnoteReference"/>
        </w:rPr>
        <w:footnoteRef/>
      </w:r>
      <w:r>
        <w:t xml:space="preserve"> File No. 0005778484, attached “Additional Waiver </w:t>
      </w:r>
      <w:r w:rsidR="00740336" w:rsidRPr="00740336">
        <w:t>Statement</w:t>
      </w:r>
      <w:r>
        <w:t>” (filed Sept. 6, 2013) at 1.</w:t>
      </w:r>
    </w:p>
  </w:footnote>
  <w:footnote w:id="6">
    <w:p w:rsidR="00585BFC" w:rsidRPr="00DF186D" w:rsidRDefault="00585BFC">
      <w:pPr>
        <w:pStyle w:val="FootnoteText"/>
      </w:pPr>
      <w:r>
        <w:rPr>
          <w:rStyle w:val="FootnoteReference"/>
        </w:rPr>
        <w:footnoteRef/>
      </w:r>
      <w:r>
        <w:t xml:space="preserve"> In </w:t>
      </w:r>
      <w:r w:rsidR="005E72B6">
        <w:t xml:space="preserve">this </w:t>
      </w:r>
      <w:r w:rsidR="005E72B6" w:rsidRPr="005E72B6">
        <w:rPr>
          <w:i/>
        </w:rPr>
        <w:t>Public Notice</w:t>
      </w:r>
      <w:r>
        <w:t xml:space="preserve">, </w:t>
      </w:r>
      <w:r w:rsidR="00DF186D">
        <w:t>“</w:t>
      </w:r>
      <w:r>
        <w:t>VHF</w:t>
      </w:r>
      <w:r w:rsidR="00DF186D">
        <w:t>”</w:t>
      </w:r>
      <w:r>
        <w:t xml:space="preserve"> refers to the band 150-174 MHz.  </w:t>
      </w:r>
      <w:r w:rsidR="00DF186D">
        <w:rPr>
          <w:i/>
        </w:rPr>
        <w:t>See</w:t>
      </w:r>
      <w:r w:rsidR="00DF186D">
        <w:t xml:space="preserve">, </w:t>
      </w:r>
      <w:r w:rsidR="00DF186D">
        <w:rPr>
          <w:i/>
        </w:rPr>
        <w:t>e.g</w:t>
      </w:r>
      <w:r w:rsidR="00DF186D">
        <w:t>., 47 C.F.R. § 90.187.</w:t>
      </w:r>
    </w:p>
  </w:footnote>
  <w:footnote w:id="7">
    <w:p w:rsidR="0000424D" w:rsidRDefault="0000424D">
      <w:pPr>
        <w:pStyle w:val="FootnoteText"/>
      </w:pPr>
      <w:r>
        <w:rPr>
          <w:rStyle w:val="FootnoteReference"/>
        </w:rPr>
        <w:footnoteRef/>
      </w:r>
      <w:r>
        <w:t xml:space="preserve"> </w:t>
      </w:r>
      <w:r w:rsidR="00092F85">
        <w:t>Waiver Request at 2.</w:t>
      </w:r>
    </w:p>
  </w:footnote>
  <w:footnote w:id="8">
    <w:p w:rsidR="00C6736C" w:rsidRPr="00C6736C" w:rsidRDefault="00C6736C">
      <w:pPr>
        <w:pStyle w:val="FootnoteText"/>
      </w:pPr>
      <w:r>
        <w:rPr>
          <w:rStyle w:val="FootnoteReference"/>
        </w:rPr>
        <w:footnoteRef/>
      </w:r>
      <w:r>
        <w:t xml:space="preserve"> </w:t>
      </w:r>
      <w:r>
        <w:rPr>
          <w:i/>
        </w:rPr>
        <w:t>Id</w:t>
      </w:r>
      <w:r>
        <w:t>.</w:t>
      </w:r>
    </w:p>
  </w:footnote>
  <w:footnote w:id="9">
    <w:p w:rsidR="006E5BB3" w:rsidRDefault="006E5BB3">
      <w:pPr>
        <w:pStyle w:val="FootnoteText"/>
      </w:pPr>
      <w:r>
        <w:rPr>
          <w:rStyle w:val="FootnoteReference"/>
        </w:rPr>
        <w:footnoteRef/>
      </w:r>
      <w:r>
        <w:t xml:space="preserve"> Additional Waiver </w:t>
      </w:r>
      <w:r w:rsidR="00740336">
        <w:t>Statement</w:t>
      </w:r>
      <w:r>
        <w:t xml:space="preserve"> at 1.</w:t>
      </w:r>
    </w:p>
  </w:footnote>
  <w:footnote w:id="10">
    <w:p w:rsidR="006E5BB3" w:rsidRPr="006E5BB3" w:rsidRDefault="006E5BB3">
      <w:pPr>
        <w:pStyle w:val="FootnoteText"/>
      </w:pPr>
      <w:r>
        <w:rPr>
          <w:rStyle w:val="FootnoteReference"/>
        </w:rPr>
        <w:footnoteRef/>
      </w:r>
      <w:r>
        <w:t xml:space="preserve"> </w:t>
      </w:r>
      <w:r>
        <w:rPr>
          <w:i/>
        </w:rPr>
        <w:t>Id</w:t>
      </w:r>
      <w:r>
        <w:t>.</w:t>
      </w:r>
    </w:p>
  </w:footnote>
  <w:footnote w:id="11">
    <w:p w:rsidR="006E5BB3" w:rsidRDefault="006E5BB3">
      <w:pPr>
        <w:pStyle w:val="FootnoteText"/>
      </w:pPr>
      <w:r>
        <w:rPr>
          <w:rStyle w:val="FootnoteReference"/>
        </w:rPr>
        <w:footnoteRef/>
      </w:r>
      <w:r>
        <w:t xml:space="preserve"> </w:t>
      </w:r>
      <w:r w:rsidRPr="006E5BB3">
        <w:rPr>
          <w:i/>
        </w:rPr>
        <w:t>Id</w:t>
      </w:r>
      <w:r w:rsidRPr="006E5BB3">
        <w:t>.</w:t>
      </w:r>
    </w:p>
  </w:footnote>
  <w:footnote w:id="12">
    <w:p w:rsidR="006E5BB3" w:rsidRDefault="006E5BB3">
      <w:pPr>
        <w:pStyle w:val="FootnoteText"/>
      </w:pPr>
      <w:r>
        <w:rPr>
          <w:rStyle w:val="FootnoteReference"/>
        </w:rPr>
        <w:footnoteRef/>
      </w:r>
      <w:r>
        <w:t xml:space="preserve"> </w:t>
      </w:r>
      <w:r w:rsidRPr="006E5BB3">
        <w:rPr>
          <w:i/>
        </w:rPr>
        <w:t>Id</w:t>
      </w:r>
      <w:r w:rsidRPr="006E5BB3">
        <w:t>.</w:t>
      </w:r>
    </w:p>
  </w:footnote>
  <w:footnote w:id="13">
    <w:p w:rsidR="00DE2442" w:rsidRPr="00DE2442" w:rsidRDefault="00DE2442">
      <w:pPr>
        <w:pStyle w:val="FootnoteText"/>
      </w:pPr>
      <w:r>
        <w:rPr>
          <w:rStyle w:val="FootnoteReference"/>
        </w:rPr>
        <w:footnoteRef/>
      </w:r>
      <w:r>
        <w:t xml:space="preserve"> </w:t>
      </w:r>
      <w:r>
        <w:rPr>
          <w:i/>
        </w:rPr>
        <w:t>See</w:t>
      </w:r>
      <w:r>
        <w:t xml:space="preserve"> Wayne County </w:t>
      </w:r>
      <w:r w:rsidRPr="00DE2442">
        <w:t xml:space="preserve">Sheriff Department, </w:t>
      </w:r>
      <w:r w:rsidRPr="00DE2442">
        <w:rPr>
          <w:i/>
        </w:rPr>
        <w:t>Order</w:t>
      </w:r>
      <w:r w:rsidRPr="00DE2442">
        <w:t>, 27 FCC Rcd 8167 (PSHSB PLD 2012) (</w:t>
      </w:r>
      <w:r w:rsidRPr="00DE2442">
        <w:rPr>
          <w:i/>
        </w:rPr>
        <w:t>Wayne Order</w:t>
      </w:r>
      <w:r w:rsidRPr="00DE2442">
        <w:t>)</w:t>
      </w:r>
      <w:r w:rsidR="00880928">
        <w:t xml:space="preserve">.  </w:t>
      </w:r>
    </w:p>
  </w:footnote>
  <w:footnote w:id="14">
    <w:p w:rsidR="002D2237" w:rsidRPr="00880928" w:rsidRDefault="002D2237">
      <w:pPr>
        <w:pStyle w:val="FootnoteText"/>
      </w:pPr>
      <w:r>
        <w:rPr>
          <w:rStyle w:val="FootnoteReference"/>
        </w:rPr>
        <w:footnoteRef/>
      </w:r>
      <w:r>
        <w:t xml:space="preserve"> Waiver Reques</w:t>
      </w:r>
      <w:r w:rsidR="00CD311E">
        <w:t xml:space="preserve">t at 1; </w:t>
      </w:r>
      <w:r w:rsidR="00CD311E" w:rsidRPr="00CD311E">
        <w:rPr>
          <w:i/>
        </w:rPr>
        <w:t>Wayne Order</w:t>
      </w:r>
      <w:r w:rsidR="00CD311E">
        <w:t>, 27 FCC Rcd at 8170 ¶ 10.</w:t>
      </w:r>
      <w:r w:rsidR="00880928">
        <w:t xml:space="preserve">  </w:t>
      </w:r>
      <w:r w:rsidR="00880928">
        <w:rPr>
          <w:i/>
        </w:rPr>
        <w:t>See also</w:t>
      </w:r>
      <w:r w:rsidR="00880928">
        <w:t xml:space="preserve"> </w:t>
      </w:r>
      <w:hyperlink r:id="rId1" w:history="1">
        <w:r w:rsidR="00880928" w:rsidRPr="00B63B45">
          <w:rPr>
            <w:rStyle w:val="Hyperlink"/>
          </w:rPr>
          <w:t>http://www.pyramidcomm.com/in-band-filters/</w:t>
        </w:r>
      </w:hyperlink>
      <w:r w:rsidR="00880928">
        <w:t xml:space="preserve"> (last visited August 29, 2013).</w:t>
      </w:r>
    </w:p>
  </w:footnote>
  <w:footnote w:id="15">
    <w:p w:rsidR="008C0F59" w:rsidRDefault="008C0F59">
      <w:pPr>
        <w:pStyle w:val="FootnoteText"/>
      </w:pPr>
      <w:r>
        <w:rPr>
          <w:rStyle w:val="FootnoteReference"/>
        </w:rPr>
        <w:footnoteRef/>
      </w:r>
      <w:r>
        <w:t xml:space="preserve"> Waiver Request at 1</w:t>
      </w:r>
      <w:r w:rsidR="0073749F">
        <w:t>, 4 Table 1</w:t>
      </w:r>
      <w:r w:rsidR="00F20500">
        <w:t>.</w:t>
      </w:r>
    </w:p>
  </w:footnote>
  <w:footnote w:id="16">
    <w:p w:rsidR="008C0F59" w:rsidRPr="008C0F59" w:rsidRDefault="008C0F59">
      <w:pPr>
        <w:pStyle w:val="FootnoteText"/>
      </w:pPr>
      <w:r>
        <w:rPr>
          <w:rStyle w:val="FootnoteReference"/>
        </w:rPr>
        <w:footnoteRef/>
      </w:r>
      <w:r>
        <w:t xml:space="preserve"> </w:t>
      </w:r>
      <w:r w:rsidR="0073749F" w:rsidRPr="0073749F">
        <w:t>Waiver Request at</w:t>
      </w:r>
      <w:r>
        <w:t xml:space="preserve"> 2.</w:t>
      </w:r>
      <w:r w:rsidR="003927DB">
        <w:t xml:space="preserve"> </w:t>
      </w:r>
      <w:r w:rsidR="003927DB" w:rsidRPr="003927DB">
        <w:t xml:space="preserve"> </w:t>
      </w:r>
      <w:r w:rsidR="004E5743">
        <w:t xml:space="preserve">Somerset </w:t>
      </w:r>
      <w:r w:rsidR="00306BDD">
        <w:t>overlooked</w:t>
      </w:r>
      <w:r w:rsidR="004E5743">
        <w:t xml:space="preserve"> frequency170.150 MHz; however, this frequency</w:t>
      </w:r>
      <w:r w:rsidR="003927DB">
        <w:t xml:space="preserve"> is only available to public safety users at within 150 miles of New York, NY, and on a secondary basis to Federal stations.  </w:t>
      </w:r>
      <w:r w:rsidR="003927DB">
        <w:rPr>
          <w:i/>
        </w:rPr>
        <w:t>See</w:t>
      </w:r>
      <w:r w:rsidR="003927DB">
        <w:t xml:space="preserve"> </w:t>
      </w:r>
      <w:r w:rsidR="003927DB" w:rsidRPr="002A5E2B">
        <w:t xml:space="preserve">47 C.F.R. §§ </w:t>
      </w:r>
      <w:r w:rsidR="003927DB">
        <w:t xml:space="preserve">90.20(d)(47), </w:t>
      </w:r>
      <w:r w:rsidR="003927DB" w:rsidRPr="002A5E2B">
        <w:t>90.265(</w:t>
      </w:r>
      <w:r w:rsidR="003927DB">
        <w:t>d</w:t>
      </w:r>
      <w:r w:rsidR="003927DB" w:rsidRPr="002A5E2B">
        <w:t>).</w:t>
      </w:r>
      <w:r w:rsidR="001A6625">
        <w:t xml:space="preserve"> </w:t>
      </w:r>
      <w:r w:rsidR="001A6625" w:rsidRPr="001A6625">
        <w:rPr>
          <w:snapToGrid w:val="0"/>
          <w:kern w:val="28"/>
          <w:sz w:val="22"/>
        </w:rPr>
        <w:t xml:space="preserve"> </w:t>
      </w:r>
      <w:r w:rsidR="001A6625" w:rsidRPr="001A6625">
        <w:t>Th</w:t>
      </w:r>
      <w:r w:rsidR="00644FD5">
        <w:t>is</w:t>
      </w:r>
      <w:r w:rsidR="001A6625" w:rsidRPr="001A6625">
        <w:t xml:space="preserve"> geographic constraint excludes Somerset County, Maine</w:t>
      </w:r>
      <w:r w:rsidR="001A6625">
        <w:t>.</w:t>
      </w:r>
    </w:p>
  </w:footnote>
  <w:footnote w:id="17">
    <w:p w:rsidR="008C0F59" w:rsidRPr="002A5E2B" w:rsidRDefault="008C0F59">
      <w:pPr>
        <w:pStyle w:val="FootnoteText"/>
      </w:pPr>
      <w:r>
        <w:rPr>
          <w:rStyle w:val="FootnoteReference"/>
        </w:rPr>
        <w:footnoteRef/>
      </w:r>
      <w:r>
        <w:t xml:space="preserve"> </w:t>
      </w:r>
      <w:r w:rsidR="003927DB" w:rsidRPr="003927DB">
        <w:t>Waiver Request at 2</w:t>
      </w:r>
      <w:r w:rsidR="005574B3">
        <w:t xml:space="preserve">.  </w:t>
      </w:r>
    </w:p>
  </w:footnote>
  <w:footnote w:id="18">
    <w:p w:rsidR="008C0F59" w:rsidRDefault="008C0F59">
      <w:pPr>
        <w:pStyle w:val="FootnoteText"/>
      </w:pPr>
      <w:r>
        <w:rPr>
          <w:rStyle w:val="FootnoteReference"/>
        </w:rPr>
        <w:footnoteRef/>
      </w:r>
      <w:r>
        <w:t xml:space="preserve"> </w:t>
      </w:r>
      <w:r w:rsidR="003927DB" w:rsidRPr="003927DB">
        <w:rPr>
          <w:i/>
        </w:rPr>
        <w:t>Id</w:t>
      </w:r>
      <w:r w:rsidR="003927DB" w:rsidRPr="003927DB">
        <w:t>.</w:t>
      </w:r>
    </w:p>
  </w:footnote>
  <w:footnote w:id="19">
    <w:p w:rsidR="00A35BAA" w:rsidRPr="00A35BAA" w:rsidRDefault="00A35BAA">
      <w:pPr>
        <w:pStyle w:val="FootnoteText"/>
      </w:pPr>
      <w:r>
        <w:rPr>
          <w:rStyle w:val="FootnoteReference"/>
        </w:rPr>
        <w:footnoteRef/>
      </w:r>
      <w:r>
        <w:t xml:space="preserve"> </w:t>
      </w:r>
      <w:r>
        <w:rPr>
          <w:i/>
        </w:rPr>
        <w:t>Id</w:t>
      </w:r>
      <w:r>
        <w:t>.</w:t>
      </w:r>
    </w:p>
  </w:footnote>
  <w:footnote w:id="20">
    <w:p w:rsidR="006332B7" w:rsidRDefault="006332B7" w:rsidP="006332B7">
      <w:pPr>
        <w:pStyle w:val="FootnoteText"/>
      </w:pPr>
      <w:r>
        <w:rPr>
          <w:rStyle w:val="FootnoteReference"/>
        </w:rPr>
        <w:footnoteRef/>
      </w:r>
      <w:r>
        <w:t xml:space="preserve"> Amendment of Sections 90.20(d)(34) and 90.265 of the Commission’s Rules to Facilitate the Use of Vehicular Repeater Units, PS Docket No. 13-229, RM-11635, </w:t>
      </w:r>
      <w:r>
        <w:rPr>
          <w:i/>
        </w:rPr>
        <w:t>Order and Notice of Proposed Rulemaking</w:t>
      </w:r>
      <w:r>
        <w:t>, FCC 13-121 (rel. Sept. 16, 2013) (</w:t>
      </w:r>
      <w:r w:rsidRPr="006332B7">
        <w:rPr>
          <w:i/>
        </w:rPr>
        <w:t>Vehicular Repeater Order and NPRM</w:t>
      </w:r>
      <w:r>
        <w:t>).</w:t>
      </w:r>
    </w:p>
  </w:footnote>
  <w:footnote w:id="21">
    <w:p w:rsidR="006332B7" w:rsidRPr="007D262D" w:rsidRDefault="006332B7" w:rsidP="006332B7">
      <w:pPr>
        <w:pStyle w:val="FootnoteText"/>
      </w:pPr>
      <w:r>
        <w:rPr>
          <w:rStyle w:val="FootnoteReference"/>
        </w:rPr>
        <w:footnoteRef/>
      </w:r>
      <w:r>
        <w:t xml:space="preserve"> </w:t>
      </w:r>
      <w:r>
        <w:rPr>
          <w:i/>
        </w:rPr>
        <w:t>Id</w:t>
      </w:r>
      <w:r>
        <w:t xml:space="preserve">.  The frequencies are 173.2375, 173.2625, 173.2875, 173.3125, 173.3375, and 173.3625 MHz.  Telemetry is “the transmission of non-voice signals for the purpose of automatically indicating or recording measurements at a distance from the measuring equipment.”  </w:t>
      </w:r>
      <w:r>
        <w:rPr>
          <w:i/>
        </w:rPr>
        <w:t>See</w:t>
      </w:r>
      <w:r>
        <w:t xml:space="preserve"> 47 C.F.R. §§ 90.7, 90.20(d)(34).</w:t>
      </w:r>
    </w:p>
  </w:footnote>
  <w:footnote w:id="22">
    <w:p w:rsidR="006332B7" w:rsidRPr="006332B7" w:rsidRDefault="006332B7" w:rsidP="006332B7">
      <w:pPr>
        <w:pStyle w:val="FootnoteText"/>
      </w:pPr>
      <w:r>
        <w:rPr>
          <w:rStyle w:val="FootnoteReference"/>
        </w:rPr>
        <w:footnoteRef/>
      </w:r>
      <w:r>
        <w:t xml:space="preserve"> Section 316(a)(1) of the Communications Act of 1934, as amended, permits the Commission to modify a station license if the action will promote public interest, convenience, and necessity.  47 U.S.C. § 316(a)(1).</w:t>
      </w:r>
    </w:p>
  </w:footnote>
  <w:footnote w:id="23">
    <w:p w:rsidR="007E5456" w:rsidRDefault="007E5456">
      <w:pPr>
        <w:pStyle w:val="FootnoteText"/>
      </w:pPr>
      <w:r>
        <w:rPr>
          <w:rStyle w:val="FootnoteReference"/>
        </w:rPr>
        <w:footnoteRef/>
      </w:r>
      <w:r>
        <w:t xml:space="preserve"> </w:t>
      </w:r>
      <w:r w:rsidRPr="007E5456">
        <w:t xml:space="preserve">Waiver Request at 2.  </w:t>
      </w:r>
    </w:p>
  </w:footnote>
  <w:footnote w:id="24">
    <w:p w:rsidR="00555461" w:rsidRDefault="00555461" w:rsidP="00555461">
      <w:pPr>
        <w:pStyle w:val="FootnoteText"/>
        <w:rPr>
          <w:rFonts w:ascii="Arial" w:hAnsi="Arial" w:cs="Arial"/>
        </w:rPr>
      </w:pPr>
      <w:r>
        <w:rPr>
          <w:rStyle w:val="FootnoteReference"/>
        </w:rPr>
        <w:footnoteRef/>
      </w:r>
      <w:r>
        <w:t xml:space="preserve"> </w:t>
      </w:r>
      <w:r>
        <w:rPr>
          <w:i/>
        </w:rPr>
        <w:t xml:space="preserve">See </w:t>
      </w:r>
      <w:r>
        <w:t xml:space="preserve">“Wireless Telecommunications Bureau Enhances the Commission’s Universal Licensing System to Implement Electronic Filing for Pleadings,” </w:t>
      </w:r>
      <w:r>
        <w:rPr>
          <w:i/>
        </w:rPr>
        <w:t xml:space="preserve">Public Notice, </w:t>
      </w:r>
      <w:r>
        <w:t xml:space="preserve">21 FCC Rcd 424 (WTB 2006).  </w:t>
      </w:r>
      <w:r>
        <w:rPr>
          <w:i/>
        </w:rPr>
        <w:t xml:space="preserve">See </w:t>
      </w:r>
      <w:r>
        <w:t>http://hraunfoss.fcc.gov/edocs_public/attachmatch/DA-06-125A1.pdf.</w:t>
      </w:r>
    </w:p>
  </w:footnote>
  <w:footnote w:id="25">
    <w:p w:rsidR="00555461" w:rsidRDefault="00555461" w:rsidP="00555461">
      <w:pPr>
        <w:pStyle w:val="FootnoteText"/>
      </w:pPr>
      <w:r>
        <w:rPr>
          <w:rStyle w:val="FootnoteReference"/>
        </w:rPr>
        <w:footnoteRef/>
      </w:r>
      <w:r>
        <w:t xml:space="preserve"> </w:t>
      </w:r>
      <w:r>
        <w:rPr>
          <w:i/>
        </w:rPr>
        <w:t>See</w:t>
      </w:r>
      <w:r>
        <w:t xml:space="preserve"> 47 C.F.R. Part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4D" w:rsidRDefault="00BB1A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A4D" w:rsidRDefault="00BB1A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E9" w:rsidRDefault="00692FEB">
    <w:pPr>
      <w:framePr w:w="950" w:h="1008" w:hSpace="245" w:vSpace="245" w:wrap="around" w:vAnchor="page" w:hAnchor="page" w:x="721" w:y="721"/>
      <w:tabs>
        <w:tab w:val="left" w:pos="-720"/>
      </w:tabs>
      <w:suppressAutoHyphens/>
      <w:rPr>
        <w:rFonts w:ascii="News Gothic MT" w:hAnsi="News Gothic MT"/>
        <w:b/>
        <w:sz w:val="2"/>
      </w:rPr>
    </w:pPr>
    <w:r>
      <w:rPr>
        <w:rFonts w:ascii="News Gothic MT" w:hAnsi="News Gothic MT"/>
        <w:b/>
        <w:noProof/>
        <w:snapToGrid/>
        <w:sz w:val="20"/>
      </w:rPr>
      <w:drawing>
        <wp:inline distT="0" distB="0" distL="0" distR="0" wp14:anchorId="0960E780" wp14:editId="659DC7E1">
          <wp:extent cx="600075" cy="600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262CE9" w:rsidRDefault="00262CE9">
    <w:pPr>
      <w:suppressAutoHyphens/>
      <w:ind w:firstLine="1080"/>
      <w:rPr>
        <w:rFonts w:ascii="Arial Narrow" w:hAnsi="Arial Narrow"/>
      </w:rPr>
    </w:pPr>
    <w:r>
      <w:rPr>
        <w:rFonts w:ascii="News Gothic MT" w:hAnsi="News Gothic MT"/>
        <w:b/>
        <w:sz w:val="96"/>
      </w:rPr>
      <w:t>PUBLIC NOTICE</w:t>
    </w:r>
  </w:p>
  <w:p w:rsidR="00262CE9" w:rsidRDefault="00262CE9">
    <w:pPr>
      <w:suppressAutoHyphens/>
      <w:rPr>
        <w:rFonts w:ascii="Arial Narrow" w:hAnsi="Arial Narrow"/>
      </w:rPr>
    </w:pPr>
  </w:p>
  <w:p w:rsidR="00262CE9" w:rsidRDefault="00692FE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noProof/>
        <w:snapToGrid/>
      </w:rPr>
      <mc:AlternateContent>
        <mc:Choice Requires="wps">
          <w:drawing>
            <wp:anchor distT="0" distB="0" distL="114300" distR="114300" simplePos="0" relativeHeight="251657728" behindDoc="0" locked="0" layoutInCell="0" allowOverlap="1" wp14:anchorId="7109ED49" wp14:editId="24E0EE9A">
              <wp:simplePos x="0" y="0"/>
              <wp:positionH relativeFrom="column">
                <wp:posOffset>4663440</wp:posOffset>
              </wp:positionH>
              <wp:positionV relativeFrom="paragraph">
                <wp:posOffset>12065</wp:posOffset>
              </wp:positionV>
              <wp:extent cx="2194560" cy="73152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CE9" w:rsidRDefault="00262CE9">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News Media Information  202 / 418-0500</w:t>
                          </w:r>
                        </w:p>
                        <w:p w:rsidR="00262CE9" w:rsidRDefault="00262CE9">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Fax-On-Demand  202 / 418-2830</w:t>
                          </w:r>
                        </w:p>
                        <w:p w:rsidR="00262CE9" w:rsidRDefault="00262CE9">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TTY  202 / 418-2555</w:t>
                          </w:r>
                        </w:p>
                        <w:p w:rsidR="00262CE9" w:rsidRDefault="00262CE9">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262CE9" w:rsidRDefault="00262CE9">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262CE9" w:rsidRDefault="00262C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7.2pt;margin-top:.95pt;width:172.8pt;height:5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" o:allowincell="f" filled="f" stroked="f">
              <v:textbox>
                <w:txbxContent>
                  <w:p w:rsidR="00262CE9" w:rsidRDefault="00262CE9">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 xml:space="preserve">News Media </w:t>
                    </w:r>
                    <w:proofErr w:type="gramStart"/>
                    <w:r>
                      <w:rPr>
                        <w:rFonts w:ascii="Arial" w:hAnsi="Arial"/>
                        <w:sz w:val="16"/>
                      </w:rPr>
                      <w:t>Information  202</w:t>
                    </w:r>
                    <w:proofErr w:type="gramEnd"/>
                    <w:r>
                      <w:rPr>
                        <w:rFonts w:ascii="Arial" w:hAnsi="Arial"/>
                        <w:sz w:val="16"/>
                      </w:rPr>
                      <w:t xml:space="preserve"> / 418-0500</w:t>
                    </w:r>
                  </w:p>
                  <w:p w:rsidR="00262CE9" w:rsidRDefault="00262CE9">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Fax-On-</w:t>
                    </w:r>
                    <w:proofErr w:type="gramStart"/>
                    <w:r>
                      <w:rPr>
                        <w:rFonts w:ascii="Arial" w:hAnsi="Arial"/>
                        <w:sz w:val="16"/>
                      </w:rPr>
                      <w:t>Demand  202</w:t>
                    </w:r>
                    <w:proofErr w:type="gramEnd"/>
                    <w:r>
                      <w:rPr>
                        <w:rFonts w:ascii="Arial" w:hAnsi="Arial"/>
                        <w:sz w:val="16"/>
                      </w:rPr>
                      <w:t xml:space="preserve"> / 418-2830</w:t>
                    </w:r>
                  </w:p>
                  <w:p w:rsidR="00262CE9" w:rsidRDefault="00262CE9">
                    <w:pPr>
                      <w:pBdr>
                        <w:left w:val="single" w:sz="2" w:space="10" w:color="FFFFFF"/>
                        <w:right w:val="single" w:sz="2" w:space="10" w:color="FFFFFF"/>
                      </w:pBdr>
                      <w:tabs>
                        <w:tab w:val="left" w:pos="-720"/>
                      </w:tabs>
                      <w:suppressAutoHyphens/>
                      <w:jc w:val="right"/>
                      <w:rPr>
                        <w:rFonts w:ascii="Arial" w:hAnsi="Arial"/>
                        <w:sz w:val="16"/>
                      </w:rPr>
                    </w:pPr>
                    <w:proofErr w:type="gramStart"/>
                    <w:r>
                      <w:rPr>
                        <w:rFonts w:ascii="Arial" w:hAnsi="Arial"/>
                        <w:sz w:val="16"/>
                      </w:rPr>
                      <w:t>TTY  202</w:t>
                    </w:r>
                    <w:proofErr w:type="gramEnd"/>
                    <w:r>
                      <w:rPr>
                        <w:rFonts w:ascii="Arial" w:hAnsi="Arial"/>
                        <w:sz w:val="16"/>
                      </w:rPr>
                      <w:t xml:space="preserve"> / 418-2555</w:t>
                    </w:r>
                  </w:p>
                  <w:p w:rsidR="00262CE9" w:rsidRDefault="00262CE9">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Internet:  http://www.fcc.gov</w:t>
                    </w:r>
                  </w:p>
                  <w:p w:rsidR="00262CE9" w:rsidRDefault="00262CE9">
                    <w:pPr>
                      <w:pBdr>
                        <w:left w:val="single" w:sz="2" w:space="10" w:color="FFFFFF"/>
                        <w:right w:val="single" w:sz="2" w:space="10" w:color="FFFFFF"/>
                      </w:pBdr>
                      <w:tabs>
                        <w:tab w:val="left" w:pos="-720"/>
                      </w:tabs>
                      <w:suppressAutoHyphens/>
                      <w:jc w:val="right"/>
                      <w:rPr>
                        <w:rFonts w:ascii="Arial" w:hAnsi="Arial"/>
                        <w:sz w:val="16"/>
                      </w:rPr>
                    </w:pPr>
                    <w:r>
                      <w:rPr>
                        <w:rFonts w:ascii="Arial" w:hAnsi="Arial"/>
                        <w:sz w:val="16"/>
                      </w:rPr>
                      <w:t>ftp.fcc.gov</w:t>
                    </w:r>
                  </w:p>
                  <w:p w:rsidR="00262CE9" w:rsidRDefault="00262CE9"/>
                </w:txbxContent>
              </v:textbox>
            </v:shape>
          </w:pict>
        </mc:Fallback>
      </mc:AlternateContent>
    </w:r>
    <w:r w:rsidR="00262CE9">
      <w:rPr>
        <w:rFonts w:ascii="Arial Narrow" w:hAnsi="Arial Narrow"/>
        <w:b/>
      </w:rPr>
      <w:tab/>
    </w:r>
    <w:r w:rsidR="00262CE9">
      <w:rPr>
        <w:rFonts w:ascii="Arial Narrow" w:hAnsi="Arial Narrow"/>
        <w:b/>
      </w:rPr>
      <w:tab/>
      <w:t>Federal Communications Commission</w:t>
    </w:r>
  </w:p>
  <w:p w:rsidR="00262CE9" w:rsidRDefault="00262CE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b/>
      </w:rPr>
    </w:pPr>
    <w:r>
      <w:rPr>
        <w:rFonts w:ascii="Arial Narrow" w:hAnsi="Arial Narrow"/>
        <w:b/>
      </w:rPr>
      <w:tab/>
    </w:r>
    <w:r>
      <w:rPr>
        <w:rFonts w:ascii="Arial Narrow" w:hAnsi="Arial Narrow"/>
        <w:b/>
      </w:rPr>
      <w:tab/>
      <w:t>445 12</w:t>
    </w:r>
    <w:r>
      <w:rPr>
        <w:rFonts w:ascii="Arial Narrow" w:hAnsi="Arial Narrow"/>
        <w:b/>
        <w:vertAlign w:val="superscript"/>
      </w:rPr>
      <w:t>th</w:t>
    </w:r>
    <w:r>
      <w:rPr>
        <w:rFonts w:ascii="Arial Narrow" w:hAnsi="Arial Narrow"/>
        <w:b/>
      </w:rPr>
      <w:t xml:space="preserve"> Street, S.W.</w:t>
    </w:r>
  </w:p>
  <w:p w:rsidR="00262CE9" w:rsidRDefault="00262CE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r>
      <w:rPr>
        <w:rFonts w:ascii="Arial Narrow" w:hAnsi="Arial Narrow"/>
        <w:b/>
      </w:rPr>
      <w:tab/>
    </w:r>
    <w:r>
      <w:rPr>
        <w:rFonts w:ascii="Arial Narrow" w:hAnsi="Arial Narrow"/>
        <w:b/>
      </w:rPr>
      <w:tab/>
      <w:t>Washington, D.C. 20554</w:t>
    </w:r>
  </w:p>
  <w:p w:rsidR="00262CE9" w:rsidRDefault="00262CE9">
    <w:pPr>
      <w:pBdr>
        <w:bottom w:val="single" w:sz="4" w:space="1" w:color="auto"/>
      </w:pBd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ascii="Arial Narrow" w:hAnsi="Arial Narrow"/>
      </w:rPr>
    </w:pPr>
  </w:p>
  <w:p w:rsidR="00262CE9" w:rsidRDefault="00262C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E9" w:rsidRDefault="00262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80_"/>
      </v:shape>
    </w:pict>
  </w:numPicBullet>
  <w:abstractNum w:abstractNumId="0">
    <w:nsid w:val="FFFFFF7C"/>
    <w:multiLevelType w:val="singleLevel"/>
    <w:tmpl w:val="E75E9292"/>
    <w:lvl w:ilvl="0">
      <w:start w:val="1"/>
      <w:numFmt w:val="decimal"/>
      <w:lvlText w:val="%1."/>
      <w:lvlJc w:val="left"/>
      <w:pPr>
        <w:tabs>
          <w:tab w:val="num" w:pos="1800"/>
        </w:tabs>
        <w:ind w:left="1800" w:hanging="360"/>
      </w:pPr>
    </w:lvl>
  </w:abstractNum>
  <w:abstractNum w:abstractNumId="1">
    <w:nsid w:val="FFFFFF7D"/>
    <w:multiLevelType w:val="singleLevel"/>
    <w:tmpl w:val="7DCA3800"/>
    <w:lvl w:ilvl="0">
      <w:start w:val="1"/>
      <w:numFmt w:val="decimal"/>
      <w:lvlText w:val="%1."/>
      <w:lvlJc w:val="left"/>
      <w:pPr>
        <w:tabs>
          <w:tab w:val="num" w:pos="1440"/>
        </w:tabs>
        <w:ind w:left="1440" w:hanging="360"/>
      </w:pPr>
    </w:lvl>
  </w:abstractNum>
  <w:abstractNum w:abstractNumId="2">
    <w:nsid w:val="FFFFFF7E"/>
    <w:multiLevelType w:val="singleLevel"/>
    <w:tmpl w:val="765AC6FA"/>
    <w:lvl w:ilvl="0">
      <w:start w:val="1"/>
      <w:numFmt w:val="decimal"/>
      <w:lvlText w:val="%1."/>
      <w:lvlJc w:val="left"/>
      <w:pPr>
        <w:tabs>
          <w:tab w:val="num" w:pos="1080"/>
        </w:tabs>
        <w:ind w:left="1080" w:hanging="360"/>
      </w:pPr>
    </w:lvl>
  </w:abstractNum>
  <w:abstractNum w:abstractNumId="3">
    <w:nsid w:val="FFFFFF7F"/>
    <w:multiLevelType w:val="singleLevel"/>
    <w:tmpl w:val="99A4A20C"/>
    <w:lvl w:ilvl="0">
      <w:start w:val="1"/>
      <w:numFmt w:val="decimal"/>
      <w:lvlText w:val="%1."/>
      <w:lvlJc w:val="left"/>
      <w:pPr>
        <w:tabs>
          <w:tab w:val="num" w:pos="720"/>
        </w:tabs>
        <w:ind w:left="720" w:hanging="360"/>
      </w:pPr>
    </w:lvl>
  </w:abstractNum>
  <w:abstractNum w:abstractNumId="4">
    <w:nsid w:val="FFFFFF80"/>
    <w:multiLevelType w:val="singleLevel"/>
    <w:tmpl w:val="5532DC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8DC45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6A28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716435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4862CC"/>
    <w:lvl w:ilvl="0">
      <w:start w:val="1"/>
      <w:numFmt w:val="decimal"/>
      <w:lvlText w:val="%1."/>
      <w:lvlJc w:val="left"/>
      <w:pPr>
        <w:tabs>
          <w:tab w:val="num" w:pos="360"/>
        </w:tabs>
        <w:ind w:left="360" w:hanging="360"/>
      </w:pPr>
    </w:lvl>
  </w:abstractNum>
  <w:abstractNum w:abstractNumId="9">
    <w:nsid w:val="FFFFFF89"/>
    <w:multiLevelType w:val="singleLevel"/>
    <w:tmpl w:val="3CCCDB28"/>
    <w:lvl w:ilvl="0">
      <w:start w:val="1"/>
      <w:numFmt w:val="bullet"/>
      <w:lvlText w:val=""/>
      <w:lvlJc w:val="left"/>
      <w:pPr>
        <w:tabs>
          <w:tab w:val="num" w:pos="360"/>
        </w:tabs>
        <w:ind w:left="360" w:hanging="360"/>
      </w:pPr>
      <w:rPr>
        <w:rFonts w:ascii="Symbol" w:hAnsi="Symbol" w:hint="default"/>
      </w:rPr>
    </w:lvl>
  </w:abstractNum>
  <w:abstractNum w:abstractNumId="10">
    <w:nsid w:val="06145668"/>
    <w:multiLevelType w:val="multilevel"/>
    <w:tmpl w:val="3A40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14034A"/>
    <w:multiLevelType w:val="multilevel"/>
    <w:tmpl w:val="C71A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634CCC"/>
    <w:multiLevelType w:val="multilevel"/>
    <w:tmpl w:val="F9387C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A9F4836"/>
    <w:multiLevelType w:val="multilevel"/>
    <w:tmpl w:val="F9387C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0954AC7"/>
    <w:multiLevelType w:val="hybridMultilevel"/>
    <w:tmpl w:val="12FEFD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4422157F"/>
    <w:multiLevelType w:val="multilevel"/>
    <w:tmpl w:val="12FEFD9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61182925"/>
    <w:multiLevelType w:val="singleLevel"/>
    <w:tmpl w:val="D180CED0"/>
    <w:lvl w:ilvl="0">
      <w:start w:val="1"/>
      <w:numFmt w:val="decimal"/>
      <w:lvlText w:val="%1."/>
      <w:lvlJc w:val="left"/>
      <w:pPr>
        <w:tabs>
          <w:tab w:val="num" w:pos="1080"/>
        </w:tabs>
        <w:ind w:left="0" w:firstLine="720"/>
      </w:pPr>
    </w:lvl>
  </w:abstractNum>
  <w:abstractNum w:abstractNumId="17">
    <w:nsid w:val="65B21C5B"/>
    <w:multiLevelType w:val="multilevel"/>
    <w:tmpl w:val="F9387C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D30273"/>
    <w:multiLevelType w:val="hybridMultilevel"/>
    <w:tmpl w:val="6AF6EB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1"/>
  </w:num>
  <w:num w:numId="15">
    <w:abstractNumId w:val="15"/>
  </w:num>
  <w:num w:numId="16">
    <w:abstractNumId w:val="18"/>
  </w:num>
  <w:num w:numId="17">
    <w:abstractNumId w:val="12"/>
  </w:num>
  <w:num w:numId="18">
    <w:abstractNumId w:val="10"/>
  </w:num>
  <w:num w:numId="19">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EDC"/>
    <w:rsid w:val="00000416"/>
    <w:rsid w:val="000021C3"/>
    <w:rsid w:val="00002C32"/>
    <w:rsid w:val="0000424D"/>
    <w:rsid w:val="0002070C"/>
    <w:rsid w:val="00023188"/>
    <w:rsid w:val="00025C33"/>
    <w:rsid w:val="0004478A"/>
    <w:rsid w:val="00050F3D"/>
    <w:rsid w:val="000536E3"/>
    <w:rsid w:val="00075B0E"/>
    <w:rsid w:val="00092F85"/>
    <w:rsid w:val="000A1A44"/>
    <w:rsid w:val="000A54C5"/>
    <w:rsid w:val="000B660A"/>
    <w:rsid w:val="000C3A37"/>
    <w:rsid w:val="000C6E7F"/>
    <w:rsid w:val="000D226E"/>
    <w:rsid w:val="000E0348"/>
    <w:rsid w:val="000E55B4"/>
    <w:rsid w:val="000F043A"/>
    <w:rsid w:val="000F3E4F"/>
    <w:rsid w:val="000F5B5D"/>
    <w:rsid w:val="00100032"/>
    <w:rsid w:val="00114019"/>
    <w:rsid w:val="00114D21"/>
    <w:rsid w:val="00132BE1"/>
    <w:rsid w:val="00133095"/>
    <w:rsid w:val="00134A6A"/>
    <w:rsid w:val="00152DCA"/>
    <w:rsid w:val="00154CD7"/>
    <w:rsid w:val="0016053A"/>
    <w:rsid w:val="00165768"/>
    <w:rsid w:val="001709B3"/>
    <w:rsid w:val="00175C6E"/>
    <w:rsid w:val="001764AA"/>
    <w:rsid w:val="00180ECC"/>
    <w:rsid w:val="00182311"/>
    <w:rsid w:val="00187514"/>
    <w:rsid w:val="0019461D"/>
    <w:rsid w:val="00197079"/>
    <w:rsid w:val="001A20C5"/>
    <w:rsid w:val="001A431D"/>
    <w:rsid w:val="001A628F"/>
    <w:rsid w:val="001A6625"/>
    <w:rsid w:val="001B66DA"/>
    <w:rsid w:val="001B6851"/>
    <w:rsid w:val="001D05ED"/>
    <w:rsid w:val="001D0D36"/>
    <w:rsid w:val="001D1616"/>
    <w:rsid w:val="001D6BE7"/>
    <w:rsid w:val="001E3DB1"/>
    <w:rsid w:val="001F5C7D"/>
    <w:rsid w:val="001F5D87"/>
    <w:rsid w:val="00200700"/>
    <w:rsid w:val="00207FFE"/>
    <w:rsid w:val="002144C3"/>
    <w:rsid w:val="002155BC"/>
    <w:rsid w:val="00221BDF"/>
    <w:rsid w:val="00221BF3"/>
    <w:rsid w:val="00232CF6"/>
    <w:rsid w:val="002419E0"/>
    <w:rsid w:val="0024787D"/>
    <w:rsid w:val="0025409D"/>
    <w:rsid w:val="00257C92"/>
    <w:rsid w:val="002609B0"/>
    <w:rsid w:val="00262CE9"/>
    <w:rsid w:val="002715A2"/>
    <w:rsid w:val="00274AD7"/>
    <w:rsid w:val="002827B0"/>
    <w:rsid w:val="0028509A"/>
    <w:rsid w:val="002920E2"/>
    <w:rsid w:val="00295718"/>
    <w:rsid w:val="002A5E2B"/>
    <w:rsid w:val="002C0B54"/>
    <w:rsid w:val="002C1D0B"/>
    <w:rsid w:val="002C575E"/>
    <w:rsid w:val="002D2237"/>
    <w:rsid w:val="002D4C05"/>
    <w:rsid w:val="002D7201"/>
    <w:rsid w:val="002D74F6"/>
    <w:rsid w:val="002F289A"/>
    <w:rsid w:val="00306BDD"/>
    <w:rsid w:val="00330C56"/>
    <w:rsid w:val="003330F8"/>
    <w:rsid w:val="003522A1"/>
    <w:rsid w:val="00365A35"/>
    <w:rsid w:val="00372170"/>
    <w:rsid w:val="00375D2D"/>
    <w:rsid w:val="003763CE"/>
    <w:rsid w:val="00383FE0"/>
    <w:rsid w:val="0039132F"/>
    <w:rsid w:val="003927DB"/>
    <w:rsid w:val="00393901"/>
    <w:rsid w:val="003964A8"/>
    <w:rsid w:val="003B001A"/>
    <w:rsid w:val="003B45C0"/>
    <w:rsid w:val="003C2F34"/>
    <w:rsid w:val="003C3B92"/>
    <w:rsid w:val="003C69B8"/>
    <w:rsid w:val="003E39DE"/>
    <w:rsid w:val="00410F55"/>
    <w:rsid w:val="00421DBC"/>
    <w:rsid w:val="00423FF7"/>
    <w:rsid w:val="00431105"/>
    <w:rsid w:val="004336FE"/>
    <w:rsid w:val="00440235"/>
    <w:rsid w:val="00446ABA"/>
    <w:rsid w:val="00450AF3"/>
    <w:rsid w:val="004620F1"/>
    <w:rsid w:val="004661BD"/>
    <w:rsid w:val="00472112"/>
    <w:rsid w:val="0047596A"/>
    <w:rsid w:val="00475B4B"/>
    <w:rsid w:val="00476414"/>
    <w:rsid w:val="004807F3"/>
    <w:rsid w:val="00483DCF"/>
    <w:rsid w:val="00486EFE"/>
    <w:rsid w:val="004A66A6"/>
    <w:rsid w:val="004B091E"/>
    <w:rsid w:val="004B0AE0"/>
    <w:rsid w:val="004B3EC8"/>
    <w:rsid w:val="004B5845"/>
    <w:rsid w:val="004B7264"/>
    <w:rsid w:val="004C0749"/>
    <w:rsid w:val="004D2C0B"/>
    <w:rsid w:val="004E5743"/>
    <w:rsid w:val="00500549"/>
    <w:rsid w:val="0051682C"/>
    <w:rsid w:val="005249A4"/>
    <w:rsid w:val="0052708F"/>
    <w:rsid w:val="00543079"/>
    <w:rsid w:val="0055248E"/>
    <w:rsid w:val="0055500B"/>
    <w:rsid w:val="00555461"/>
    <w:rsid w:val="005574B3"/>
    <w:rsid w:val="005574FE"/>
    <w:rsid w:val="00585BFC"/>
    <w:rsid w:val="0059549F"/>
    <w:rsid w:val="005B404F"/>
    <w:rsid w:val="005B60AF"/>
    <w:rsid w:val="005C39BE"/>
    <w:rsid w:val="005E72B6"/>
    <w:rsid w:val="006044DE"/>
    <w:rsid w:val="00612A94"/>
    <w:rsid w:val="00620EBD"/>
    <w:rsid w:val="00627F5E"/>
    <w:rsid w:val="006332B7"/>
    <w:rsid w:val="00644232"/>
    <w:rsid w:val="00644FD5"/>
    <w:rsid w:val="006531E9"/>
    <w:rsid w:val="00654C33"/>
    <w:rsid w:val="00657518"/>
    <w:rsid w:val="00663DB9"/>
    <w:rsid w:val="006754D8"/>
    <w:rsid w:val="006813EF"/>
    <w:rsid w:val="00687F59"/>
    <w:rsid w:val="00692FEB"/>
    <w:rsid w:val="0069386A"/>
    <w:rsid w:val="006A32F2"/>
    <w:rsid w:val="006B3DD4"/>
    <w:rsid w:val="006B5E1D"/>
    <w:rsid w:val="006D06BE"/>
    <w:rsid w:val="006D14A7"/>
    <w:rsid w:val="006D3C3E"/>
    <w:rsid w:val="006D58A7"/>
    <w:rsid w:val="006E5BB3"/>
    <w:rsid w:val="007046F2"/>
    <w:rsid w:val="00733B46"/>
    <w:rsid w:val="0073749F"/>
    <w:rsid w:val="00740336"/>
    <w:rsid w:val="007517E7"/>
    <w:rsid w:val="007524E8"/>
    <w:rsid w:val="007569DD"/>
    <w:rsid w:val="00761B41"/>
    <w:rsid w:val="00766309"/>
    <w:rsid w:val="007757FF"/>
    <w:rsid w:val="00777838"/>
    <w:rsid w:val="00782C9E"/>
    <w:rsid w:val="007858BC"/>
    <w:rsid w:val="00793253"/>
    <w:rsid w:val="007A5C0B"/>
    <w:rsid w:val="007B387C"/>
    <w:rsid w:val="007C1515"/>
    <w:rsid w:val="007C3E87"/>
    <w:rsid w:val="007C4BD9"/>
    <w:rsid w:val="007C4DF0"/>
    <w:rsid w:val="007C4F8F"/>
    <w:rsid w:val="007D0686"/>
    <w:rsid w:val="007E5456"/>
    <w:rsid w:val="007F1CEE"/>
    <w:rsid w:val="007F3E82"/>
    <w:rsid w:val="007F42B9"/>
    <w:rsid w:val="00802075"/>
    <w:rsid w:val="00805553"/>
    <w:rsid w:val="008114E3"/>
    <w:rsid w:val="00822575"/>
    <w:rsid w:val="008604AB"/>
    <w:rsid w:val="00862805"/>
    <w:rsid w:val="00876AB5"/>
    <w:rsid w:val="00877042"/>
    <w:rsid w:val="00880928"/>
    <w:rsid w:val="00891089"/>
    <w:rsid w:val="00897965"/>
    <w:rsid w:val="008A3E1F"/>
    <w:rsid w:val="008A451E"/>
    <w:rsid w:val="008A65DE"/>
    <w:rsid w:val="008C0F59"/>
    <w:rsid w:val="008C4677"/>
    <w:rsid w:val="008D5705"/>
    <w:rsid w:val="008E042F"/>
    <w:rsid w:val="008F2E7A"/>
    <w:rsid w:val="00913097"/>
    <w:rsid w:val="00926461"/>
    <w:rsid w:val="00932876"/>
    <w:rsid w:val="00936C6F"/>
    <w:rsid w:val="00945426"/>
    <w:rsid w:val="009535F9"/>
    <w:rsid w:val="009623B7"/>
    <w:rsid w:val="00963CBB"/>
    <w:rsid w:val="00966160"/>
    <w:rsid w:val="009759BE"/>
    <w:rsid w:val="009865BF"/>
    <w:rsid w:val="009A7B7A"/>
    <w:rsid w:val="009B189A"/>
    <w:rsid w:val="009D29E1"/>
    <w:rsid w:val="009E0802"/>
    <w:rsid w:val="009F0B12"/>
    <w:rsid w:val="009F0F01"/>
    <w:rsid w:val="009F1785"/>
    <w:rsid w:val="009F40D5"/>
    <w:rsid w:val="009F7FA3"/>
    <w:rsid w:val="00A0544F"/>
    <w:rsid w:val="00A057DA"/>
    <w:rsid w:val="00A23EDC"/>
    <w:rsid w:val="00A31A52"/>
    <w:rsid w:val="00A32648"/>
    <w:rsid w:val="00A33AB6"/>
    <w:rsid w:val="00A35BAA"/>
    <w:rsid w:val="00A413D4"/>
    <w:rsid w:val="00A7196D"/>
    <w:rsid w:val="00A90BD9"/>
    <w:rsid w:val="00A938E8"/>
    <w:rsid w:val="00A948FC"/>
    <w:rsid w:val="00AA2A0C"/>
    <w:rsid w:val="00AC46D3"/>
    <w:rsid w:val="00AC7CB8"/>
    <w:rsid w:val="00AD58BE"/>
    <w:rsid w:val="00AE7542"/>
    <w:rsid w:val="00AF2C3A"/>
    <w:rsid w:val="00AF4640"/>
    <w:rsid w:val="00AF5484"/>
    <w:rsid w:val="00AF7B47"/>
    <w:rsid w:val="00B052C4"/>
    <w:rsid w:val="00B17AC1"/>
    <w:rsid w:val="00B217F3"/>
    <w:rsid w:val="00B24341"/>
    <w:rsid w:val="00B403E1"/>
    <w:rsid w:val="00B45FC9"/>
    <w:rsid w:val="00B62E96"/>
    <w:rsid w:val="00B8077D"/>
    <w:rsid w:val="00B93344"/>
    <w:rsid w:val="00B9696F"/>
    <w:rsid w:val="00BA7AE7"/>
    <w:rsid w:val="00BB1A4D"/>
    <w:rsid w:val="00BB6F4B"/>
    <w:rsid w:val="00BC5C38"/>
    <w:rsid w:val="00BD4E37"/>
    <w:rsid w:val="00BE7131"/>
    <w:rsid w:val="00C030CD"/>
    <w:rsid w:val="00C159F3"/>
    <w:rsid w:val="00C35A19"/>
    <w:rsid w:val="00C36A34"/>
    <w:rsid w:val="00C53305"/>
    <w:rsid w:val="00C643AA"/>
    <w:rsid w:val="00C6736C"/>
    <w:rsid w:val="00C80039"/>
    <w:rsid w:val="00C80F80"/>
    <w:rsid w:val="00CA350F"/>
    <w:rsid w:val="00CA3D38"/>
    <w:rsid w:val="00CA7DAB"/>
    <w:rsid w:val="00CB2AD5"/>
    <w:rsid w:val="00CD0740"/>
    <w:rsid w:val="00CD311E"/>
    <w:rsid w:val="00CF166B"/>
    <w:rsid w:val="00CF20E4"/>
    <w:rsid w:val="00CF6985"/>
    <w:rsid w:val="00D0313A"/>
    <w:rsid w:val="00D075BB"/>
    <w:rsid w:val="00D23738"/>
    <w:rsid w:val="00D2593A"/>
    <w:rsid w:val="00D32006"/>
    <w:rsid w:val="00D3372A"/>
    <w:rsid w:val="00D36477"/>
    <w:rsid w:val="00D37D2E"/>
    <w:rsid w:val="00D428EF"/>
    <w:rsid w:val="00D6183A"/>
    <w:rsid w:val="00D637BE"/>
    <w:rsid w:val="00D63D75"/>
    <w:rsid w:val="00D81985"/>
    <w:rsid w:val="00D832F5"/>
    <w:rsid w:val="00D9307F"/>
    <w:rsid w:val="00D96BB5"/>
    <w:rsid w:val="00DB79CA"/>
    <w:rsid w:val="00DC02E8"/>
    <w:rsid w:val="00DE013A"/>
    <w:rsid w:val="00DE2442"/>
    <w:rsid w:val="00DF186D"/>
    <w:rsid w:val="00DF4A82"/>
    <w:rsid w:val="00DF5A21"/>
    <w:rsid w:val="00E07B49"/>
    <w:rsid w:val="00E150B4"/>
    <w:rsid w:val="00E45A9B"/>
    <w:rsid w:val="00E6206F"/>
    <w:rsid w:val="00E72334"/>
    <w:rsid w:val="00E75A17"/>
    <w:rsid w:val="00E82965"/>
    <w:rsid w:val="00E95498"/>
    <w:rsid w:val="00EA7B6E"/>
    <w:rsid w:val="00EB2480"/>
    <w:rsid w:val="00EB7EFA"/>
    <w:rsid w:val="00EC74E7"/>
    <w:rsid w:val="00EC7FF9"/>
    <w:rsid w:val="00ED14EB"/>
    <w:rsid w:val="00ED66C1"/>
    <w:rsid w:val="00EE40D2"/>
    <w:rsid w:val="00F01987"/>
    <w:rsid w:val="00F0234C"/>
    <w:rsid w:val="00F03CC5"/>
    <w:rsid w:val="00F14220"/>
    <w:rsid w:val="00F20500"/>
    <w:rsid w:val="00F27A90"/>
    <w:rsid w:val="00F34F7C"/>
    <w:rsid w:val="00F70D00"/>
    <w:rsid w:val="00F73F18"/>
    <w:rsid w:val="00F82760"/>
    <w:rsid w:val="00F92209"/>
    <w:rsid w:val="00F97710"/>
    <w:rsid w:val="00FA1165"/>
    <w:rsid w:val="00FA6876"/>
    <w:rsid w:val="00FC1F03"/>
    <w:rsid w:val="00FD4C5B"/>
    <w:rsid w:val="00FE6A34"/>
    <w:rsid w:val="00FF3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tabs>
        <w:tab w:val="num" w:pos="360"/>
      </w:tabs>
      <w:suppressAutoHyphens/>
      <w:spacing w:after="220"/>
      <w:outlineLvl w:val="0"/>
    </w:pPr>
    <w:rPr>
      <w:b/>
      <w:caps/>
    </w:rPr>
  </w:style>
  <w:style w:type="paragraph" w:styleId="Heading2">
    <w:name w:val="heading 2"/>
    <w:basedOn w:val="Normal"/>
    <w:next w:val="Normal"/>
    <w:qFormat/>
    <w:pPr>
      <w:keepNext/>
      <w:tabs>
        <w:tab w:val="num" w:pos="360"/>
      </w:tabs>
      <w:spacing w:after="220"/>
      <w:outlineLvl w:val="1"/>
    </w:pPr>
    <w:rPr>
      <w:b/>
    </w:rPr>
  </w:style>
  <w:style w:type="paragraph" w:styleId="Heading3">
    <w:name w:val="heading 3"/>
    <w:basedOn w:val="Normal"/>
    <w:next w:val="Normal"/>
    <w:qFormat/>
    <w:pPr>
      <w:keepNext/>
      <w:tabs>
        <w:tab w:val="num" w:pos="360"/>
      </w:tabs>
      <w:spacing w:after="220"/>
      <w:outlineLvl w:val="2"/>
    </w:pPr>
    <w:rPr>
      <w:b/>
    </w:rPr>
  </w:style>
  <w:style w:type="paragraph" w:styleId="Heading4">
    <w:name w:val="heading 4"/>
    <w:basedOn w:val="Normal"/>
    <w:next w:val="Normal"/>
    <w:qFormat/>
    <w:pPr>
      <w:keepNext/>
      <w:tabs>
        <w:tab w:val="num" w:pos="360"/>
      </w:tabs>
      <w:spacing w:after="220"/>
      <w:outlineLvl w:val="3"/>
    </w:pPr>
    <w:rPr>
      <w:b/>
    </w:rPr>
  </w:style>
  <w:style w:type="paragraph" w:styleId="Heading5">
    <w:name w:val="heading 5"/>
    <w:basedOn w:val="Normal"/>
    <w:next w:val="Normal"/>
    <w:qFormat/>
    <w:pPr>
      <w:keepNext/>
      <w:tabs>
        <w:tab w:val="num" w:pos="360"/>
        <w:tab w:val="left" w:pos="2880"/>
      </w:tabs>
      <w:suppressAutoHyphens/>
      <w:spacing w:after="220"/>
      <w:outlineLvl w:val="4"/>
    </w:pPr>
    <w:rPr>
      <w:b/>
    </w:rPr>
  </w:style>
  <w:style w:type="paragraph" w:styleId="Heading6">
    <w:name w:val="heading 6"/>
    <w:basedOn w:val="Normal"/>
    <w:next w:val="Normal"/>
    <w:qFormat/>
    <w:pPr>
      <w:tabs>
        <w:tab w:val="num" w:pos="360"/>
        <w:tab w:val="left" w:pos="2880"/>
      </w:tabs>
      <w:spacing w:after="220"/>
      <w:outlineLvl w:val="5"/>
    </w:pPr>
    <w:rPr>
      <w:b/>
    </w:rPr>
  </w:style>
  <w:style w:type="paragraph" w:styleId="Heading7">
    <w:name w:val="heading 7"/>
    <w:basedOn w:val="Normal"/>
    <w:next w:val="Normal"/>
    <w:qFormat/>
    <w:pPr>
      <w:tabs>
        <w:tab w:val="num" w:pos="360"/>
      </w:tabs>
      <w:spacing w:after="240"/>
      <w:outlineLvl w:val="6"/>
    </w:pPr>
    <w:rPr>
      <w:b/>
    </w:rPr>
  </w:style>
  <w:style w:type="paragraph" w:styleId="Heading8">
    <w:name w:val="heading 8"/>
    <w:basedOn w:val="Normal"/>
    <w:next w:val="Normal"/>
    <w:qFormat/>
    <w:pPr>
      <w:tabs>
        <w:tab w:val="num" w:pos="360"/>
        <w:tab w:val="left" w:pos="5040"/>
      </w:tabs>
      <w:spacing w:after="240"/>
      <w:outlineLvl w:val="7"/>
    </w:pPr>
    <w:rPr>
      <w:b/>
    </w:rPr>
  </w:style>
  <w:style w:type="paragraph" w:styleId="Heading9">
    <w:name w:val="heading 9"/>
    <w:basedOn w:val="Normal"/>
    <w:next w:val="Normal"/>
    <w:qFormat/>
    <w:pPr>
      <w:tabs>
        <w:tab w:val="num" w:pos="360"/>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
    <w:link w:val="FootnoteTextChar"/>
    <w:semiHidden/>
    <w:rsid w:val="00114D21"/>
    <w:pPr>
      <w:tabs>
        <w:tab w:val="left" w:pos="720"/>
        <w:tab w:val="left" w:pos="1440"/>
      </w:tabs>
      <w:spacing w:after="120"/>
      <w:ind w:right="144"/>
    </w:pPr>
  </w:style>
  <w:style w:type="character" w:styleId="FootnoteReference">
    <w:name w:val="footnote reference"/>
    <w:aliases w:val="Appel note de bas de p,Style 12,(NECG) Footnote Reference,Style 124,Style 13,o,fr,Style 3,FR,Style 17,Style 6,Footnote Reference/"/>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tabs>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tabs>
        <w:tab w:val="num" w:pos="360"/>
      </w:tabs>
      <w:spacing w:after="220"/>
    </w:pPr>
  </w:style>
  <w:style w:type="paragraph" w:customStyle="1" w:styleId="TableFormat">
    <w:name w:val="TableFormat"/>
    <w:basedOn w:val="Bullet"/>
    <w:p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PlainText">
    <w:name w:val="Plain Text"/>
    <w:basedOn w:val="Normal"/>
    <w:pPr>
      <w:widowControl/>
      <w:jc w:val="left"/>
    </w:pPr>
    <w:rPr>
      <w:rFonts w:ascii="Courier New" w:hAnsi="Courier New"/>
      <w:snapToGrid/>
      <w:kern w:val="0"/>
      <w:sz w:val="20"/>
    </w:rPr>
  </w:style>
  <w:style w:type="paragraph" w:customStyle="1" w:styleId="ParagraphNumbering">
    <w:name w:val="Paragraph Numbering"/>
    <w:basedOn w:val="Normal"/>
    <w:pPr>
      <w:jc w:val="left"/>
    </w:pPr>
    <w:rPr>
      <w:rFonts w:ascii="Courier New" w:hAnsi="Courier New"/>
      <w:kern w:val="0"/>
    </w:rPr>
  </w:style>
  <w:style w:type="paragraph" w:styleId="BodyTextIndent2">
    <w:name w:val="Body Text Indent 2"/>
    <w:basedOn w:val="Normal"/>
    <w:pPr>
      <w:spacing w:after="120" w:line="480" w:lineRule="auto"/>
      <w:ind w:left="36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1">
    <w:name w:val="documentbody1"/>
    <w:rPr>
      <w:rFonts w:ascii="Verdana" w:hAnsi="Verdana" w:hint="default"/>
      <w:sz w:val="19"/>
      <w:szCs w:val="19"/>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114D21"/>
    <w:rPr>
      <w:lang w:val="en-US" w:eastAsia="en-US" w:bidi="ar-SA"/>
    </w:rPr>
  </w:style>
  <w:style w:type="character" w:customStyle="1" w:styleId="FootnoteTextChar4">
    <w:name w:val="Footnote Text Char4"/>
    <w:aliases w:val="Footnote Text Char Char4,Footnote Text Char3 Char Char2,Footnote Text Char4 Char1 Char Char2,Footnote Text Char Char2 Char Char Char4,Footnote Text Char3 Char Char Char2 Char Char2,Footnote Text Char Char2 Char Char Char2 Char Char2"/>
    <w:semiHidden/>
    <w:locked/>
    <w:rsid w:val="00475B4B"/>
  </w:style>
  <w:style w:type="paragraph" w:customStyle="1" w:styleId="StyleParaNum">
    <w:name w:val="Style ParaNum +"/>
    <w:basedOn w:val="ParaNum"/>
    <w:link w:val="StyleParaNumChar"/>
    <w:autoRedefine/>
    <w:rsid w:val="00475B4B"/>
    <w:pPr>
      <w:tabs>
        <w:tab w:val="clear" w:pos="360"/>
        <w:tab w:val="num" w:pos="1440"/>
      </w:tabs>
      <w:spacing w:after="240"/>
      <w:ind w:firstLine="720"/>
      <w:jc w:val="left"/>
    </w:pPr>
    <w:rPr>
      <w:kern w:val="0"/>
    </w:rPr>
  </w:style>
  <w:style w:type="character" w:customStyle="1" w:styleId="StyleParaNumChar">
    <w:name w:val="Style ParaNum + Char"/>
    <w:link w:val="StyleParaNum"/>
    <w:rsid w:val="00475B4B"/>
    <w:rPr>
      <w:snapToGrid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snapToGrid w:val="0"/>
      <w:kern w:val="28"/>
      <w:sz w:val="22"/>
    </w:rPr>
  </w:style>
  <w:style w:type="paragraph" w:styleId="Heading1">
    <w:name w:val="heading 1"/>
    <w:basedOn w:val="Normal"/>
    <w:next w:val="Normal"/>
    <w:qFormat/>
    <w:pPr>
      <w:keepNext/>
      <w:tabs>
        <w:tab w:val="num" w:pos="360"/>
      </w:tabs>
      <w:suppressAutoHyphens/>
      <w:spacing w:after="220"/>
      <w:outlineLvl w:val="0"/>
    </w:pPr>
    <w:rPr>
      <w:b/>
      <w:caps/>
    </w:rPr>
  </w:style>
  <w:style w:type="paragraph" w:styleId="Heading2">
    <w:name w:val="heading 2"/>
    <w:basedOn w:val="Normal"/>
    <w:next w:val="Normal"/>
    <w:qFormat/>
    <w:pPr>
      <w:keepNext/>
      <w:tabs>
        <w:tab w:val="num" w:pos="360"/>
      </w:tabs>
      <w:spacing w:after="220"/>
      <w:outlineLvl w:val="1"/>
    </w:pPr>
    <w:rPr>
      <w:b/>
    </w:rPr>
  </w:style>
  <w:style w:type="paragraph" w:styleId="Heading3">
    <w:name w:val="heading 3"/>
    <w:basedOn w:val="Normal"/>
    <w:next w:val="Normal"/>
    <w:qFormat/>
    <w:pPr>
      <w:keepNext/>
      <w:tabs>
        <w:tab w:val="num" w:pos="360"/>
      </w:tabs>
      <w:spacing w:after="220"/>
      <w:outlineLvl w:val="2"/>
    </w:pPr>
    <w:rPr>
      <w:b/>
    </w:rPr>
  </w:style>
  <w:style w:type="paragraph" w:styleId="Heading4">
    <w:name w:val="heading 4"/>
    <w:basedOn w:val="Normal"/>
    <w:next w:val="Normal"/>
    <w:qFormat/>
    <w:pPr>
      <w:keepNext/>
      <w:tabs>
        <w:tab w:val="num" w:pos="360"/>
      </w:tabs>
      <w:spacing w:after="220"/>
      <w:outlineLvl w:val="3"/>
    </w:pPr>
    <w:rPr>
      <w:b/>
    </w:rPr>
  </w:style>
  <w:style w:type="paragraph" w:styleId="Heading5">
    <w:name w:val="heading 5"/>
    <w:basedOn w:val="Normal"/>
    <w:next w:val="Normal"/>
    <w:qFormat/>
    <w:pPr>
      <w:keepNext/>
      <w:tabs>
        <w:tab w:val="num" w:pos="360"/>
        <w:tab w:val="left" w:pos="2880"/>
      </w:tabs>
      <w:suppressAutoHyphens/>
      <w:spacing w:after="220"/>
      <w:outlineLvl w:val="4"/>
    </w:pPr>
    <w:rPr>
      <w:b/>
    </w:rPr>
  </w:style>
  <w:style w:type="paragraph" w:styleId="Heading6">
    <w:name w:val="heading 6"/>
    <w:basedOn w:val="Normal"/>
    <w:next w:val="Normal"/>
    <w:qFormat/>
    <w:pPr>
      <w:tabs>
        <w:tab w:val="num" w:pos="360"/>
        <w:tab w:val="left" w:pos="2880"/>
      </w:tabs>
      <w:spacing w:after="220"/>
      <w:outlineLvl w:val="5"/>
    </w:pPr>
    <w:rPr>
      <w:b/>
    </w:rPr>
  </w:style>
  <w:style w:type="paragraph" w:styleId="Heading7">
    <w:name w:val="heading 7"/>
    <w:basedOn w:val="Normal"/>
    <w:next w:val="Normal"/>
    <w:qFormat/>
    <w:pPr>
      <w:tabs>
        <w:tab w:val="num" w:pos="360"/>
      </w:tabs>
      <w:spacing w:after="240"/>
      <w:outlineLvl w:val="6"/>
    </w:pPr>
    <w:rPr>
      <w:b/>
    </w:rPr>
  </w:style>
  <w:style w:type="paragraph" w:styleId="Heading8">
    <w:name w:val="heading 8"/>
    <w:basedOn w:val="Normal"/>
    <w:next w:val="Normal"/>
    <w:qFormat/>
    <w:pPr>
      <w:tabs>
        <w:tab w:val="num" w:pos="360"/>
        <w:tab w:val="left" w:pos="5040"/>
      </w:tabs>
      <w:spacing w:after="240"/>
      <w:outlineLvl w:val="7"/>
    </w:pPr>
    <w:rPr>
      <w:b/>
    </w:rPr>
  </w:style>
  <w:style w:type="paragraph" w:styleId="Heading9">
    <w:name w:val="heading 9"/>
    <w:basedOn w:val="Normal"/>
    <w:next w:val="Normal"/>
    <w:qFormat/>
    <w:pPr>
      <w:tabs>
        <w:tab w:val="num" w:pos="360"/>
        <w:tab w:val="left" w:pos="5040"/>
      </w:tabs>
      <w:spacing w:after="24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
    <w:link w:val="FootnoteTextChar"/>
    <w:semiHidden/>
    <w:rsid w:val="00114D21"/>
    <w:pPr>
      <w:tabs>
        <w:tab w:val="left" w:pos="720"/>
        <w:tab w:val="left" w:pos="1440"/>
      </w:tabs>
      <w:spacing w:after="120"/>
      <w:ind w:right="144"/>
    </w:pPr>
  </w:style>
  <w:style w:type="character" w:styleId="FootnoteReference">
    <w:name w:val="footnote reference"/>
    <w:aliases w:val="Appel note de bas de p,Style 12,(NECG) Footnote Reference,Style 124,Style 13,o,fr,Style 3,FR,Style 17,Style 6,Footnote Reference/"/>
    <w:semiHidden/>
    <w:rPr>
      <w:rFonts w:ascii="Times New Roman" w:hAnsi="Times New Roman"/>
      <w:dstrike w:val="0"/>
      <w:color w:val="auto"/>
      <w:sz w:val="22"/>
      <w:vertAlign w:val="superscript"/>
    </w:rPr>
  </w:style>
  <w:style w:type="paragraph" w:styleId="TOC1">
    <w:name w:val="toc 1"/>
    <w:basedOn w:val="Normal"/>
    <w:next w:val="Normal"/>
    <w:autoRedefine/>
    <w:semiHidden/>
    <w:pPr>
      <w:tabs>
        <w:tab w:val="right" w:leader="dot" w:pos="9360"/>
      </w:tabs>
      <w:suppressAutoHyphens/>
      <w:spacing w:before="220"/>
      <w:ind w:left="720" w:right="720" w:hanging="720"/>
    </w:pPr>
  </w:style>
  <w:style w:type="paragraph" w:styleId="TOC2">
    <w:name w:val="toc 2"/>
    <w:basedOn w:val="Normal"/>
    <w:next w:val="Normal"/>
    <w:autoRedefine/>
    <w:semiHidden/>
    <w:pPr>
      <w:tabs>
        <w:tab w:val="left" w:pos="1440"/>
        <w:tab w:val="right" w:leader="dot" w:pos="9360"/>
      </w:tabs>
      <w:suppressAutoHyphens/>
      <w:spacing w:before="220"/>
      <w:ind w:left="1440" w:right="720" w:hanging="720"/>
    </w:pPr>
  </w:style>
  <w:style w:type="paragraph" w:styleId="TOC3">
    <w:name w:val="toc 3"/>
    <w:basedOn w:val="Normal"/>
    <w:next w:val="Normal"/>
    <w:autoRedefine/>
    <w:semiHidden/>
    <w:pPr>
      <w:tabs>
        <w:tab w:val="left" w:pos="2160"/>
        <w:tab w:val="right" w:leader="dot" w:pos="9360"/>
      </w:tabs>
      <w:suppressAutoHyphens/>
      <w:ind w:left="2160" w:right="720" w:hanging="720"/>
    </w:pPr>
  </w:style>
  <w:style w:type="paragraph" w:styleId="TOC4">
    <w:name w:val="toc 4"/>
    <w:basedOn w:val="Normal"/>
    <w:next w:val="Normal"/>
    <w:autoRedefine/>
    <w:semiHidden/>
    <w:pPr>
      <w:tabs>
        <w:tab w:val="left" w:pos="2880"/>
        <w:tab w:val="right" w:leader="dot" w:pos="9360"/>
      </w:tabs>
      <w:suppressAutoHyphens/>
      <w:ind w:left="2880" w:right="720" w:hanging="720"/>
    </w:pPr>
    <w:rPr>
      <w:noProof/>
    </w:rPr>
  </w:style>
  <w:style w:type="paragraph" w:styleId="TOC5">
    <w:name w:val="toc 5"/>
    <w:basedOn w:val="Normal"/>
    <w:next w:val="Normal"/>
    <w:autoRedefine/>
    <w:semiHidden/>
    <w:pPr>
      <w:tabs>
        <w:tab w:val="left" w:pos="3600"/>
        <w:tab w:val="right" w:leader="dot" w:pos="9360"/>
      </w:tabs>
      <w:suppressAutoHyphens/>
      <w:ind w:left="3600" w:right="720" w:hanging="720"/>
    </w:pPr>
    <w:rPr>
      <w:noProof/>
    </w:r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character" w:styleId="Strong">
    <w:name w:val="Strong"/>
    <w:qFormat/>
    <w:rPr>
      <w:b/>
    </w:rPr>
  </w:style>
  <w:style w:type="paragraph" w:styleId="Header">
    <w:name w:val="header"/>
    <w:basedOn w:val="Normal"/>
    <w:pPr>
      <w:tabs>
        <w:tab w:val="center" w:pos="4680"/>
        <w:tab w:val="right" w:pos="9360"/>
      </w:tabs>
    </w:pPr>
    <w:rPr>
      <w:b/>
    </w:rPr>
  </w:style>
  <w:style w:type="paragraph" w:styleId="Footer">
    <w:name w:val="footer"/>
    <w:basedOn w:val="Normal"/>
    <w:pPr>
      <w:tabs>
        <w:tab w:val="center" w:pos="4320"/>
        <w:tab w:val="right" w:pos="8640"/>
      </w:tabs>
    </w:pPr>
  </w:style>
  <w:style w:type="paragraph" w:styleId="BlockText">
    <w:name w:val="Block Text"/>
    <w:basedOn w:val="Normal"/>
    <w:pPr>
      <w:spacing w:after="240"/>
      <w:ind w:left="1440" w:right="1440"/>
    </w:pPr>
  </w:style>
  <w:style w:type="paragraph" w:customStyle="1" w:styleId="Bullet">
    <w:name w:val="Bullet"/>
    <w:basedOn w:val="Normal"/>
    <w:pPr>
      <w:tabs>
        <w:tab w:val="left" w:pos="2160"/>
      </w:tabs>
      <w:spacing w:after="220"/>
      <w:ind w:left="2160" w:hanging="720"/>
    </w:pPr>
  </w:style>
  <w:style w:type="character" w:styleId="PageNumber">
    <w:name w:val="page number"/>
    <w:basedOn w:val="DefaultParagraphFont"/>
  </w:style>
  <w:style w:type="paragraph" w:customStyle="1" w:styleId="ParaNum">
    <w:name w:val="ParaNum"/>
    <w:basedOn w:val="Normal"/>
    <w:pPr>
      <w:tabs>
        <w:tab w:val="num" w:pos="360"/>
      </w:tabs>
      <w:spacing w:after="220"/>
    </w:pPr>
  </w:style>
  <w:style w:type="paragraph" w:customStyle="1" w:styleId="TableFormat">
    <w:name w:val="TableFormat"/>
    <w:basedOn w:val="Bullet"/>
    <w:pPr>
      <w:tabs>
        <w:tab w:val="clear" w:pos="2160"/>
        <w:tab w:val="left" w:pos="5040"/>
      </w:tabs>
      <w:ind w:left="5040" w:hanging="3600"/>
    </w:pPr>
  </w:style>
  <w:style w:type="paragraph" w:styleId="BodyText">
    <w:name w:val="Body Text"/>
    <w:basedOn w:val="Normal"/>
    <w:pPr>
      <w:suppressAutoHyphens/>
      <w:jc w:val="left"/>
    </w:pPr>
  </w:style>
  <w:style w:type="character" w:styleId="Hyperlink">
    <w:name w:val="Hyperlink"/>
    <w:rPr>
      <w:color w:val="0000FF"/>
      <w:u w:val="single"/>
    </w:rPr>
  </w:style>
  <w:style w:type="paragraph" w:styleId="Title">
    <w:name w:val="Title"/>
    <w:basedOn w:val="Normal"/>
    <w:qFormat/>
    <w:pPr>
      <w:widowControl/>
      <w:spacing w:before="240" w:after="60"/>
      <w:jc w:val="center"/>
      <w:outlineLvl w:val="0"/>
    </w:pPr>
    <w:rPr>
      <w:b/>
      <w:snapToGrid/>
      <w:sz w:val="32"/>
    </w:rPr>
  </w:style>
  <w:style w:type="paragraph" w:styleId="Subtitle">
    <w:name w:val="Subtitle"/>
    <w:basedOn w:val="Normal"/>
    <w:qFormat/>
    <w:pPr>
      <w:ind w:left="720" w:right="720"/>
      <w:jc w:val="left"/>
    </w:pPr>
    <w:rPr>
      <w:b/>
      <w:kern w:val="0"/>
      <w:sz w:val="24"/>
    </w:rPr>
  </w:style>
  <w:style w:type="paragraph" w:styleId="BodyText2">
    <w:name w:val="Body Text 2"/>
    <w:basedOn w:val="Normal"/>
    <w:rPr>
      <w:b/>
      <w:sz w:val="23"/>
      <w:u w:val="single"/>
    </w:rPr>
  </w:style>
  <w:style w:type="paragraph" w:styleId="BodyText3">
    <w:name w:val="Body Text 3"/>
    <w:basedOn w:val="Normal"/>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left"/>
    </w:pPr>
    <w:rPr>
      <w:sz w:val="23"/>
    </w:rPr>
  </w:style>
  <w:style w:type="character" w:styleId="FollowedHyperlink">
    <w:name w:val="FollowedHyperlink"/>
    <w:rPr>
      <w:color w:val="800080"/>
      <w:u w:val="single"/>
    </w:rPr>
  </w:style>
  <w:style w:type="paragraph" w:styleId="BodyTextIndent">
    <w:name w:val="Body Text Indent"/>
    <w:basedOn w:val="Normal"/>
    <w:pPr>
      <w:ind w:firstLine="720"/>
      <w:jc w:val="left"/>
    </w:pPr>
    <w:rPr>
      <w:sz w:val="24"/>
    </w:rPr>
  </w:style>
  <w:style w:type="paragraph" w:styleId="PlainText">
    <w:name w:val="Plain Text"/>
    <w:basedOn w:val="Normal"/>
    <w:pPr>
      <w:widowControl/>
      <w:jc w:val="left"/>
    </w:pPr>
    <w:rPr>
      <w:rFonts w:ascii="Courier New" w:hAnsi="Courier New"/>
      <w:snapToGrid/>
      <w:kern w:val="0"/>
      <w:sz w:val="20"/>
    </w:rPr>
  </w:style>
  <w:style w:type="paragraph" w:customStyle="1" w:styleId="ParagraphNumbering">
    <w:name w:val="Paragraph Numbering"/>
    <w:basedOn w:val="Normal"/>
    <w:pPr>
      <w:jc w:val="left"/>
    </w:pPr>
    <w:rPr>
      <w:rFonts w:ascii="Courier New" w:hAnsi="Courier New"/>
      <w:kern w:val="0"/>
    </w:rPr>
  </w:style>
  <w:style w:type="paragraph" w:styleId="BodyTextIndent2">
    <w:name w:val="Body Text Indent 2"/>
    <w:basedOn w:val="Normal"/>
    <w:pPr>
      <w:spacing w:after="120" w:line="480" w:lineRule="auto"/>
      <w:ind w:left="36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1">
    <w:name w:val="documentbody1"/>
    <w:rPr>
      <w:rFonts w:ascii="Verdana" w:hAnsi="Verdana" w:hint="default"/>
      <w:sz w:val="19"/>
      <w:szCs w:val="19"/>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114D21"/>
    <w:rPr>
      <w:lang w:val="en-US" w:eastAsia="en-US" w:bidi="ar-SA"/>
    </w:rPr>
  </w:style>
  <w:style w:type="character" w:customStyle="1" w:styleId="FootnoteTextChar4">
    <w:name w:val="Footnote Text Char4"/>
    <w:aliases w:val="Footnote Text Char Char4,Footnote Text Char3 Char Char2,Footnote Text Char4 Char1 Char Char2,Footnote Text Char Char2 Char Char Char4,Footnote Text Char3 Char Char Char2 Char Char2,Footnote Text Char Char2 Char Char Char2 Char Char2"/>
    <w:semiHidden/>
    <w:locked/>
    <w:rsid w:val="00475B4B"/>
  </w:style>
  <w:style w:type="paragraph" w:customStyle="1" w:styleId="StyleParaNum">
    <w:name w:val="Style ParaNum +"/>
    <w:basedOn w:val="ParaNum"/>
    <w:link w:val="StyleParaNumChar"/>
    <w:autoRedefine/>
    <w:rsid w:val="00475B4B"/>
    <w:pPr>
      <w:tabs>
        <w:tab w:val="clear" w:pos="360"/>
        <w:tab w:val="num" w:pos="1440"/>
      </w:tabs>
      <w:spacing w:after="240"/>
      <w:ind w:firstLine="720"/>
      <w:jc w:val="left"/>
    </w:pPr>
    <w:rPr>
      <w:kern w:val="0"/>
    </w:rPr>
  </w:style>
  <w:style w:type="character" w:customStyle="1" w:styleId="StyleParaNumChar">
    <w:name w:val="Style ParaNum + Char"/>
    <w:link w:val="StyleParaNum"/>
    <w:rsid w:val="00475B4B"/>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pyramidcomm.com/in-band-filter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1865</Words>
  <Characters>10285</Characters>
  <Application>Microsoft Office Word</Application>
  <DocSecurity>0</DocSecurity>
  <Lines>170</Lines>
  <Paragraphs>31</Paragraphs>
  <ScaleCrop>false</ScaleCrop>
  <Manager/>
  <Company/>
  <LinksUpToDate>false</LinksUpToDate>
  <CharactersWithSpaces>12202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2013-12-16T15:48:00Z</dcterms:created>
  <dcterms:modified xsi:type="dcterms:W3CDTF">2013-12-16T15:48:00Z</dcterms:modified>
  <cp:category> </cp:category>
  <cp:contentStatus> </cp:contentStatus>
</cp:coreProperties>
</file>