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9E5AD" w14:textId="77777777" w:rsidR="00B64A74" w:rsidRDefault="00B64A74">
      <w:bookmarkStart w:id="0" w:name="_GoBack"/>
      <w:bookmarkEnd w:id="0"/>
    </w:p>
    <w:p w14:paraId="63FCF297" w14:textId="77777777" w:rsidR="00B64A74" w:rsidRDefault="00B64A74"/>
    <w:p w14:paraId="79F37566" w14:textId="77777777" w:rsidR="00B64A74" w:rsidRDefault="00B64A74"/>
    <w:p w14:paraId="0BEBD580" w14:textId="5DE451DE" w:rsidR="00C453BE" w:rsidRDefault="00737138" w:rsidP="00095EAF">
      <w:pPr>
        <w:rPr>
          <w:sz w:val="22"/>
          <w:szCs w:val="22"/>
        </w:rPr>
      </w:pPr>
      <w:r>
        <w:rPr>
          <w:sz w:val="22"/>
          <w:szCs w:val="22"/>
        </w:rPr>
        <w:t>James B. Goldstein</w:t>
      </w:r>
      <w:r w:rsidR="00B52A13">
        <w:rPr>
          <w:sz w:val="22"/>
          <w:szCs w:val="22"/>
        </w:rPr>
        <w:tab/>
      </w:r>
      <w:r w:rsidR="00B52A13">
        <w:rPr>
          <w:sz w:val="22"/>
          <w:szCs w:val="22"/>
        </w:rPr>
        <w:tab/>
      </w:r>
      <w:r w:rsidR="00B52A13">
        <w:rPr>
          <w:sz w:val="22"/>
          <w:szCs w:val="22"/>
        </w:rPr>
        <w:tab/>
      </w:r>
      <w:r w:rsidR="00B52A13">
        <w:rPr>
          <w:sz w:val="22"/>
          <w:szCs w:val="22"/>
        </w:rPr>
        <w:tab/>
      </w:r>
      <w:r w:rsidR="00B52A13">
        <w:rPr>
          <w:sz w:val="22"/>
          <w:szCs w:val="22"/>
        </w:rPr>
        <w:tab/>
      </w:r>
      <w:r w:rsidR="00B52A13">
        <w:rPr>
          <w:sz w:val="22"/>
          <w:szCs w:val="22"/>
        </w:rPr>
        <w:tab/>
      </w:r>
      <w:r w:rsidR="00B52A13">
        <w:rPr>
          <w:sz w:val="22"/>
          <w:szCs w:val="22"/>
        </w:rPr>
        <w:tab/>
      </w:r>
      <w:r w:rsidR="00B52A13">
        <w:rPr>
          <w:sz w:val="22"/>
          <w:szCs w:val="22"/>
        </w:rPr>
        <w:tab/>
        <w:t>DA 13-</w:t>
      </w:r>
      <w:r w:rsidR="009A7AA3">
        <w:rPr>
          <w:sz w:val="22"/>
          <w:szCs w:val="22"/>
        </w:rPr>
        <w:t>2262</w:t>
      </w:r>
    </w:p>
    <w:p w14:paraId="716A4452" w14:textId="77777777" w:rsidR="00737138" w:rsidRDefault="00737138" w:rsidP="00095EAF">
      <w:pPr>
        <w:rPr>
          <w:sz w:val="22"/>
          <w:szCs w:val="22"/>
        </w:rPr>
      </w:pPr>
      <w:r>
        <w:rPr>
          <w:sz w:val="22"/>
          <w:szCs w:val="22"/>
        </w:rPr>
        <w:t>Sprint Corporation</w:t>
      </w:r>
    </w:p>
    <w:p w14:paraId="14CC002B" w14:textId="77777777" w:rsidR="00737138" w:rsidRDefault="00737138" w:rsidP="00095EAF">
      <w:pPr>
        <w:rPr>
          <w:sz w:val="22"/>
          <w:szCs w:val="22"/>
        </w:rPr>
      </w:pPr>
      <w:r>
        <w:rPr>
          <w:sz w:val="22"/>
          <w:szCs w:val="22"/>
        </w:rPr>
        <w:t>12502 Sunrise Valley Drive</w:t>
      </w:r>
    </w:p>
    <w:p w14:paraId="712F2731" w14:textId="77777777" w:rsidR="00737138" w:rsidRDefault="00737138" w:rsidP="00095EAF">
      <w:pPr>
        <w:rPr>
          <w:sz w:val="22"/>
          <w:szCs w:val="22"/>
        </w:rPr>
      </w:pPr>
      <w:r>
        <w:rPr>
          <w:sz w:val="22"/>
          <w:szCs w:val="22"/>
        </w:rPr>
        <w:t>Reston, VA  20196</w:t>
      </w:r>
    </w:p>
    <w:p w14:paraId="38FF7E22" w14:textId="77777777" w:rsidR="00080295" w:rsidRDefault="00080295" w:rsidP="00C453BE">
      <w:pPr>
        <w:rPr>
          <w:sz w:val="22"/>
          <w:szCs w:val="22"/>
        </w:rPr>
      </w:pPr>
    </w:p>
    <w:p w14:paraId="3C96B797" w14:textId="074E795A" w:rsidR="00C453BE" w:rsidRPr="00293A30" w:rsidRDefault="00C453BE" w:rsidP="00737138">
      <w:pPr>
        <w:ind w:left="1170" w:hanging="450"/>
        <w:rPr>
          <w:sz w:val="22"/>
          <w:szCs w:val="22"/>
        </w:rPr>
      </w:pPr>
      <w:r w:rsidRPr="00293A30">
        <w:rPr>
          <w:sz w:val="22"/>
          <w:szCs w:val="22"/>
        </w:rPr>
        <w:t xml:space="preserve">Re:  </w:t>
      </w:r>
      <w:r w:rsidR="00737138">
        <w:rPr>
          <w:sz w:val="22"/>
          <w:szCs w:val="22"/>
        </w:rPr>
        <w:t>Sprint Corporation Request for Waiver to Permit 800 MHz Wideband Operations in Portions of Florida Prior to Completion of 800 MHz Band Reconfiguratio</w:t>
      </w:r>
      <w:r w:rsidR="004B6DA4">
        <w:rPr>
          <w:sz w:val="22"/>
          <w:szCs w:val="22"/>
        </w:rPr>
        <w:t xml:space="preserve">n in the Entire NPSPAC Region, </w:t>
      </w:r>
      <w:r w:rsidR="00737138">
        <w:rPr>
          <w:sz w:val="22"/>
          <w:szCs w:val="22"/>
        </w:rPr>
        <w:t>WT Docket 12-64</w:t>
      </w:r>
      <w:r w:rsidR="00771903">
        <w:rPr>
          <w:sz w:val="22"/>
          <w:szCs w:val="22"/>
        </w:rPr>
        <w:t xml:space="preserve">; </w:t>
      </w:r>
      <w:r w:rsidR="00771903" w:rsidRPr="00771903">
        <w:rPr>
          <w:sz w:val="22"/>
          <w:szCs w:val="22"/>
        </w:rPr>
        <w:t>FCC File Nos. 0006020514, 0006020472, 0006020725, 0006020738, 0006020746, 0006020758, 0006020761, 0006020440, 0006020484, 0006020456</w:t>
      </w:r>
    </w:p>
    <w:p w14:paraId="7D0E0281" w14:textId="77777777" w:rsidR="00C453BE" w:rsidRPr="00293A30" w:rsidRDefault="00C453BE" w:rsidP="00C453BE">
      <w:pPr>
        <w:rPr>
          <w:sz w:val="22"/>
          <w:szCs w:val="22"/>
        </w:rPr>
      </w:pPr>
    </w:p>
    <w:p w14:paraId="1D830939" w14:textId="77777777" w:rsidR="00C453BE" w:rsidRPr="00293A30" w:rsidRDefault="00C453BE" w:rsidP="00C453BE">
      <w:pPr>
        <w:rPr>
          <w:sz w:val="22"/>
          <w:szCs w:val="22"/>
        </w:rPr>
      </w:pPr>
      <w:r w:rsidRPr="00293A30">
        <w:rPr>
          <w:sz w:val="22"/>
          <w:szCs w:val="22"/>
        </w:rPr>
        <w:t xml:space="preserve">Dear </w:t>
      </w:r>
      <w:r w:rsidR="000B79D1">
        <w:rPr>
          <w:sz w:val="22"/>
          <w:szCs w:val="22"/>
        </w:rPr>
        <w:t xml:space="preserve">Mr. </w:t>
      </w:r>
      <w:r w:rsidR="00737138">
        <w:rPr>
          <w:sz w:val="22"/>
          <w:szCs w:val="22"/>
        </w:rPr>
        <w:t>Goldstein</w:t>
      </w:r>
      <w:r w:rsidRPr="00293A30">
        <w:rPr>
          <w:sz w:val="22"/>
          <w:szCs w:val="22"/>
        </w:rPr>
        <w:t>:</w:t>
      </w:r>
      <w:r w:rsidR="0090450D" w:rsidRPr="00293A30">
        <w:rPr>
          <w:sz w:val="22"/>
          <w:szCs w:val="22"/>
        </w:rPr>
        <w:t xml:space="preserve"> </w:t>
      </w:r>
    </w:p>
    <w:p w14:paraId="47059B03" w14:textId="77777777" w:rsidR="00C453BE" w:rsidRPr="00293A30" w:rsidRDefault="00C453BE" w:rsidP="00C453BE">
      <w:pPr>
        <w:rPr>
          <w:sz w:val="22"/>
          <w:szCs w:val="22"/>
        </w:rPr>
      </w:pPr>
    </w:p>
    <w:p w14:paraId="3D188A9F" w14:textId="50C71FD4" w:rsidR="00C453BE" w:rsidRDefault="00737138" w:rsidP="00C453BE">
      <w:pPr>
        <w:pStyle w:val="Header"/>
        <w:tabs>
          <w:tab w:val="clear" w:pos="4320"/>
          <w:tab w:val="center" w:pos="720"/>
        </w:tabs>
        <w:ind w:firstLine="720"/>
        <w:rPr>
          <w:sz w:val="22"/>
          <w:szCs w:val="22"/>
          <w:lang w:val="en-US"/>
        </w:rPr>
      </w:pPr>
      <w:r>
        <w:rPr>
          <w:sz w:val="22"/>
          <w:szCs w:val="22"/>
          <w:lang w:val="en-US"/>
        </w:rPr>
        <w:t>This letter addresses Sprint Corporation’s (Sprint) request for a waiver of Section 90.209(b)(7) of the Commission’s rules.</w:t>
      </w:r>
      <w:r>
        <w:rPr>
          <w:rStyle w:val="FootnoteReference"/>
          <w:sz w:val="22"/>
          <w:szCs w:val="22"/>
          <w:lang w:val="en-US"/>
        </w:rPr>
        <w:footnoteReference w:id="1"/>
      </w:r>
      <w:r>
        <w:rPr>
          <w:sz w:val="22"/>
          <w:szCs w:val="22"/>
          <w:lang w:val="en-US"/>
        </w:rPr>
        <w:t xml:space="preserve">  As</w:t>
      </w:r>
      <w:r w:rsidR="00771903">
        <w:rPr>
          <w:sz w:val="22"/>
          <w:szCs w:val="22"/>
          <w:lang w:val="en-US"/>
        </w:rPr>
        <w:t xml:space="preserve"> explained below, we grant the Waiver R</w:t>
      </w:r>
      <w:r>
        <w:rPr>
          <w:sz w:val="22"/>
          <w:szCs w:val="22"/>
          <w:lang w:val="en-US"/>
        </w:rPr>
        <w:t xml:space="preserve">equest to the extent described </w:t>
      </w:r>
      <w:r w:rsidR="00F6775A">
        <w:rPr>
          <w:sz w:val="22"/>
          <w:szCs w:val="22"/>
          <w:lang w:val="en-US"/>
        </w:rPr>
        <w:t>herein</w:t>
      </w:r>
      <w:r>
        <w:rPr>
          <w:sz w:val="22"/>
          <w:szCs w:val="22"/>
          <w:lang w:val="en-US"/>
        </w:rPr>
        <w:t>.</w:t>
      </w:r>
    </w:p>
    <w:p w14:paraId="718AC901" w14:textId="77777777" w:rsidR="001C67AA" w:rsidRDefault="001C67AA" w:rsidP="00C453BE">
      <w:pPr>
        <w:pStyle w:val="Header"/>
        <w:tabs>
          <w:tab w:val="clear" w:pos="4320"/>
          <w:tab w:val="center" w:pos="720"/>
        </w:tabs>
        <w:ind w:firstLine="720"/>
        <w:rPr>
          <w:sz w:val="22"/>
          <w:szCs w:val="22"/>
          <w:lang w:val="en-US"/>
        </w:rPr>
      </w:pPr>
    </w:p>
    <w:p w14:paraId="744E23FF" w14:textId="07C6EDC8" w:rsidR="001C67AA" w:rsidRPr="00293A30" w:rsidRDefault="001C67AA" w:rsidP="00C453BE">
      <w:pPr>
        <w:pStyle w:val="Header"/>
        <w:tabs>
          <w:tab w:val="clear" w:pos="4320"/>
          <w:tab w:val="center" w:pos="720"/>
        </w:tabs>
        <w:ind w:firstLine="720"/>
        <w:rPr>
          <w:sz w:val="22"/>
          <w:szCs w:val="22"/>
        </w:rPr>
      </w:pPr>
      <w:r>
        <w:rPr>
          <w:sz w:val="22"/>
          <w:szCs w:val="22"/>
          <w:lang w:val="en-US"/>
        </w:rPr>
        <w:t>Pursuant to section 90.209(b)(7) of the Commission’s rule</w:t>
      </w:r>
      <w:r w:rsidR="00B52A13">
        <w:rPr>
          <w:sz w:val="22"/>
          <w:szCs w:val="22"/>
          <w:lang w:val="en-US"/>
        </w:rPr>
        <w:t>s, Sprint is deploying a 1.25 MH</w:t>
      </w:r>
      <w:r>
        <w:rPr>
          <w:sz w:val="22"/>
          <w:szCs w:val="22"/>
          <w:lang w:val="en-US"/>
        </w:rPr>
        <w:t xml:space="preserve">z wide CDMA channel in the lower portion of the 800 MHz </w:t>
      </w:r>
      <w:r w:rsidR="003A47E2">
        <w:rPr>
          <w:sz w:val="22"/>
          <w:szCs w:val="22"/>
          <w:lang w:val="en-US"/>
        </w:rPr>
        <w:t>Enhanced Specialized Mobile Radi</w:t>
      </w:r>
      <w:r w:rsidR="007D1032">
        <w:rPr>
          <w:sz w:val="22"/>
          <w:szCs w:val="22"/>
          <w:lang w:val="en-US"/>
        </w:rPr>
        <w:t>o (ESMR</w:t>
      </w:r>
      <w:r w:rsidR="003A47E2">
        <w:rPr>
          <w:sz w:val="22"/>
          <w:szCs w:val="22"/>
          <w:lang w:val="en-US"/>
        </w:rPr>
        <w:t>) band (817-821/862-866</w:t>
      </w:r>
      <w:r w:rsidR="00B52A13">
        <w:rPr>
          <w:sz w:val="22"/>
          <w:szCs w:val="22"/>
          <w:lang w:val="en-US"/>
        </w:rPr>
        <w:t xml:space="preserve"> MHz</w:t>
      </w:r>
      <w:r w:rsidR="003A47E2">
        <w:rPr>
          <w:sz w:val="22"/>
          <w:szCs w:val="22"/>
          <w:lang w:val="en-US"/>
        </w:rPr>
        <w:t xml:space="preserve">) throughout the country.  In addition, Sprint is deploying a 5 x 5 MHz Long-Term </w:t>
      </w:r>
      <w:r w:rsidR="00B52A13">
        <w:rPr>
          <w:sz w:val="22"/>
          <w:szCs w:val="22"/>
          <w:lang w:val="en-US"/>
        </w:rPr>
        <w:t xml:space="preserve">Evolution (LTE) channel in the </w:t>
      </w:r>
      <w:r w:rsidR="003A47E2">
        <w:rPr>
          <w:sz w:val="22"/>
          <w:szCs w:val="22"/>
          <w:lang w:val="en-US"/>
        </w:rPr>
        <w:t>800 MHz ESMR band at 819-824/864-869 MHz in National Public Safety Advisory Committee (NPSPAC) Regions where 800 MHz band reconfiguration has been completed.</w:t>
      </w:r>
      <w:r w:rsidR="004B6DA4">
        <w:rPr>
          <w:rStyle w:val="FootnoteReference"/>
          <w:sz w:val="22"/>
          <w:szCs w:val="22"/>
          <w:lang w:val="en-US"/>
        </w:rPr>
        <w:footnoteReference w:id="2"/>
      </w:r>
    </w:p>
    <w:p w14:paraId="74C7D88E" w14:textId="77777777" w:rsidR="00C453BE" w:rsidRPr="00293A30" w:rsidRDefault="00C453BE" w:rsidP="00C453BE">
      <w:pPr>
        <w:autoSpaceDE w:val="0"/>
        <w:autoSpaceDN w:val="0"/>
        <w:adjustRightInd w:val="0"/>
        <w:rPr>
          <w:sz w:val="22"/>
          <w:szCs w:val="22"/>
        </w:rPr>
      </w:pPr>
    </w:p>
    <w:p w14:paraId="31CBC795" w14:textId="4F9078F1" w:rsidR="00B2155B" w:rsidRDefault="00F1517D" w:rsidP="00E95A3A">
      <w:pPr>
        <w:pStyle w:val="Header"/>
        <w:tabs>
          <w:tab w:val="center" w:pos="720"/>
        </w:tabs>
        <w:ind w:firstLine="720"/>
        <w:rPr>
          <w:sz w:val="22"/>
          <w:szCs w:val="22"/>
        </w:rPr>
      </w:pPr>
      <w:r>
        <w:rPr>
          <w:sz w:val="22"/>
          <w:szCs w:val="22"/>
        </w:rPr>
        <w:t>Sprint</w:t>
      </w:r>
      <w:r w:rsidR="001E0B03">
        <w:rPr>
          <w:sz w:val="22"/>
          <w:szCs w:val="22"/>
          <w:lang w:val="en-US"/>
        </w:rPr>
        <w:t xml:space="preserve"> notes </w:t>
      </w:r>
      <w:r w:rsidR="00846506">
        <w:rPr>
          <w:sz w:val="22"/>
          <w:szCs w:val="22"/>
          <w:lang w:val="en-US"/>
        </w:rPr>
        <w:t xml:space="preserve">that </w:t>
      </w:r>
      <w:r>
        <w:rPr>
          <w:sz w:val="22"/>
          <w:szCs w:val="22"/>
        </w:rPr>
        <w:t xml:space="preserve">800 MHz band reconfiguration is complete in the NPSPAC </w:t>
      </w:r>
      <w:r w:rsidR="00B52A13" w:rsidRPr="00B52A13">
        <w:rPr>
          <w:sz w:val="22"/>
          <w:szCs w:val="22"/>
          <w:lang w:val="en-US"/>
        </w:rPr>
        <w:t xml:space="preserve">Florida </w:t>
      </w:r>
      <w:r>
        <w:rPr>
          <w:sz w:val="22"/>
          <w:szCs w:val="22"/>
        </w:rPr>
        <w:t xml:space="preserve">Region in all areas of the state except the Miami-Dade </w:t>
      </w:r>
      <w:r w:rsidR="00B52A13">
        <w:rPr>
          <w:sz w:val="22"/>
          <w:szCs w:val="22"/>
        </w:rPr>
        <w:t>metropolitan</w:t>
      </w:r>
      <w:r>
        <w:rPr>
          <w:sz w:val="22"/>
          <w:szCs w:val="22"/>
        </w:rPr>
        <w:t xml:space="preserve"> area.  Specifically, 23 of the 25 public safety licensees required to be retuned from the </w:t>
      </w:r>
      <w:r w:rsidR="003B2548">
        <w:rPr>
          <w:sz w:val="22"/>
          <w:szCs w:val="22"/>
          <w:lang w:val="en-US"/>
        </w:rPr>
        <w:t>“</w:t>
      </w:r>
      <w:r w:rsidR="00C75023">
        <w:rPr>
          <w:sz w:val="22"/>
          <w:szCs w:val="22"/>
        </w:rPr>
        <w:t>old</w:t>
      </w:r>
      <w:r>
        <w:rPr>
          <w:sz w:val="22"/>
          <w:szCs w:val="22"/>
        </w:rPr>
        <w:t xml:space="preserve"> NPSPAC band</w:t>
      </w:r>
      <w:r w:rsidR="003B2548">
        <w:rPr>
          <w:sz w:val="22"/>
          <w:szCs w:val="22"/>
          <w:lang w:val="en-US"/>
        </w:rPr>
        <w:t>”</w:t>
      </w:r>
      <w:r>
        <w:rPr>
          <w:sz w:val="22"/>
          <w:szCs w:val="22"/>
        </w:rPr>
        <w:t xml:space="preserve"> (821-824/866-869 MHz) have successfully complete their retunes; only Miami-Dade County and the State of Florida remain in the </w:t>
      </w:r>
      <w:r w:rsidR="00B52A13">
        <w:rPr>
          <w:sz w:val="22"/>
          <w:szCs w:val="22"/>
          <w:lang w:val="en-US"/>
        </w:rPr>
        <w:t xml:space="preserve">retuning </w:t>
      </w:r>
      <w:r>
        <w:rPr>
          <w:sz w:val="22"/>
          <w:szCs w:val="22"/>
        </w:rPr>
        <w:t>process.</w:t>
      </w:r>
      <w:r w:rsidR="004B6DA4">
        <w:rPr>
          <w:rStyle w:val="FootnoteReference"/>
          <w:sz w:val="22"/>
          <w:szCs w:val="22"/>
        </w:rPr>
        <w:footnoteReference w:id="3"/>
      </w:r>
      <w:r w:rsidR="00CF745C">
        <w:rPr>
          <w:sz w:val="22"/>
          <w:szCs w:val="22"/>
        </w:rPr>
        <w:t xml:space="preserve">  Sprint states that until these two licensees have certified that they have completed their retunes, section 90.209(b)(7) prohibits broadband operations at 821-824/866-869 MHz anywhere in the NPSPAC </w:t>
      </w:r>
      <w:r w:rsidR="007D1032" w:rsidRPr="007D1032">
        <w:rPr>
          <w:sz w:val="22"/>
          <w:szCs w:val="22"/>
          <w:lang w:val="en-US"/>
        </w:rPr>
        <w:t xml:space="preserve">Florida </w:t>
      </w:r>
      <w:r w:rsidR="00B52A13">
        <w:rPr>
          <w:sz w:val="22"/>
          <w:szCs w:val="22"/>
        </w:rPr>
        <w:t>Region</w:t>
      </w:r>
      <w:r w:rsidR="00CF745C">
        <w:rPr>
          <w:sz w:val="22"/>
          <w:szCs w:val="22"/>
        </w:rPr>
        <w:t>.</w:t>
      </w:r>
      <w:r w:rsidR="00543A97">
        <w:rPr>
          <w:sz w:val="22"/>
          <w:szCs w:val="22"/>
        </w:rPr>
        <w:t xml:space="preserve">  Thus, Sprint argues, it cannot deploy broadband LTE in the </w:t>
      </w:r>
      <w:r w:rsidR="00C75023">
        <w:rPr>
          <w:sz w:val="22"/>
          <w:szCs w:val="22"/>
        </w:rPr>
        <w:t>old</w:t>
      </w:r>
      <w:r w:rsidR="00543A97">
        <w:rPr>
          <w:sz w:val="22"/>
          <w:szCs w:val="22"/>
        </w:rPr>
        <w:t xml:space="preserve"> NPSPAC band in areas of Florida which are fully cleared of public safety </w:t>
      </w:r>
      <w:r w:rsidR="00C75023">
        <w:rPr>
          <w:sz w:val="22"/>
          <w:szCs w:val="22"/>
        </w:rPr>
        <w:t>operations, including populous metropolitan areas such as Tampa-St. Petersburg and Orlando.</w:t>
      </w:r>
      <w:r w:rsidR="004B6DA4">
        <w:rPr>
          <w:rStyle w:val="FootnoteReference"/>
          <w:sz w:val="22"/>
          <w:szCs w:val="22"/>
        </w:rPr>
        <w:footnoteReference w:id="4"/>
      </w:r>
      <w:r w:rsidR="00C75023">
        <w:rPr>
          <w:sz w:val="22"/>
          <w:szCs w:val="22"/>
        </w:rPr>
        <w:t xml:space="preserve">  Sprint maintains that it can integrate the old NPSPAC band </w:t>
      </w:r>
      <w:r w:rsidR="00B52A13">
        <w:rPr>
          <w:sz w:val="22"/>
          <w:szCs w:val="22"/>
        </w:rPr>
        <w:t>spectrum</w:t>
      </w:r>
      <w:r w:rsidR="00C75023">
        <w:rPr>
          <w:sz w:val="22"/>
          <w:szCs w:val="22"/>
        </w:rPr>
        <w:t xml:space="preserve"> into its broadband network in much of Florida without posing any risk of interference to the Miami-Dade licensees finalizing their retuning.</w:t>
      </w:r>
      <w:r w:rsidR="004B6DA4">
        <w:rPr>
          <w:rStyle w:val="FootnoteReference"/>
          <w:sz w:val="22"/>
          <w:szCs w:val="22"/>
        </w:rPr>
        <w:footnoteReference w:id="5"/>
      </w:r>
    </w:p>
    <w:p w14:paraId="71B46CAD" w14:textId="77777777" w:rsidR="00C75023" w:rsidRDefault="00C75023" w:rsidP="00E95A3A">
      <w:pPr>
        <w:pStyle w:val="Header"/>
        <w:tabs>
          <w:tab w:val="center" w:pos="720"/>
        </w:tabs>
        <w:ind w:firstLine="720"/>
        <w:rPr>
          <w:sz w:val="22"/>
          <w:szCs w:val="22"/>
        </w:rPr>
      </w:pPr>
    </w:p>
    <w:p w14:paraId="31BA28FA" w14:textId="47201307" w:rsidR="00C75023" w:rsidRPr="00004075" w:rsidRDefault="00C75023" w:rsidP="00E95A3A">
      <w:pPr>
        <w:pStyle w:val="Header"/>
        <w:tabs>
          <w:tab w:val="center" w:pos="720"/>
        </w:tabs>
        <w:ind w:firstLine="720"/>
        <w:rPr>
          <w:sz w:val="22"/>
          <w:szCs w:val="22"/>
          <w:lang w:val="en-US"/>
        </w:rPr>
      </w:pPr>
      <w:r>
        <w:rPr>
          <w:sz w:val="22"/>
          <w:szCs w:val="22"/>
        </w:rPr>
        <w:t>Sprint reque</w:t>
      </w:r>
      <w:r w:rsidR="00B65BF1">
        <w:rPr>
          <w:sz w:val="22"/>
          <w:szCs w:val="22"/>
        </w:rPr>
        <w:t>sts a waiver of section 90.209(</w:t>
      </w:r>
      <w:r>
        <w:rPr>
          <w:sz w:val="22"/>
          <w:szCs w:val="22"/>
        </w:rPr>
        <w:t>b)(7) so that it can launch LTE in the 56 Florida counties</w:t>
      </w:r>
      <w:r>
        <w:rPr>
          <w:rStyle w:val="FootnoteReference"/>
          <w:sz w:val="22"/>
          <w:szCs w:val="22"/>
        </w:rPr>
        <w:footnoteReference w:id="6"/>
      </w:r>
      <w:r>
        <w:rPr>
          <w:sz w:val="22"/>
          <w:szCs w:val="22"/>
        </w:rPr>
        <w:t xml:space="preserve"> in which 800 MHz rebanding is complete.  Sprint notes that each county is more than 80 mi</w:t>
      </w:r>
      <w:r w:rsidR="007D1032">
        <w:rPr>
          <w:sz w:val="22"/>
          <w:szCs w:val="22"/>
        </w:rPr>
        <w:t>les away from the nearest Miami</w:t>
      </w:r>
      <w:r w:rsidR="007D1032">
        <w:rPr>
          <w:sz w:val="22"/>
          <w:szCs w:val="22"/>
          <w:lang w:val="en-US"/>
        </w:rPr>
        <w:t>-</w:t>
      </w:r>
      <w:r>
        <w:rPr>
          <w:sz w:val="22"/>
          <w:szCs w:val="22"/>
        </w:rPr>
        <w:t xml:space="preserve">Dade County or State of Florida operational site in the old NPSPAC </w:t>
      </w:r>
      <w:r w:rsidR="001220DA">
        <w:rPr>
          <w:sz w:val="22"/>
          <w:szCs w:val="22"/>
          <w:lang w:val="en-US"/>
        </w:rPr>
        <w:t xml:space="preserve">band </w:t>
      </w:r>
      <w:r>
        <w:rPr>
          <w:sz w:val="22"/>
          <w:szCs w:val="22"/>
        </w:rPr>
        <w:t xml:space="preserve">and argues that this more than 80-mile co-channel separation </w:t>
      </w:r>
      <w:r w:rsidR="006F0B9D">
        <w:rPr>
          <w:sz w:val="22"/>
          <w:szCs w:val="22"/>
        </w:rPr>
        <w:t>far exceeds the co-channel separation requirements in section 90.621(b) of the Commission’s rules.</w:t>
      </w:r>
      <w:r w:rsidR="006F0B9D">
        <w:rPr>
          <w:rStyle w:val="FootnoteReference"/>
          <w:sz w:val="22"/>
          <w:szCs w:val="22"/>
        </w:rPr>
        <w:footnoteReference w:id="7"/>
      </w:r>
      <w:r>
        <w:rPr>
          <w:sz w:val="22"/>
          <w:szCs w:val="22"/>
        </w:rPr>
        <w:t xml:space="preserve"> </w:t>
      </w:r>
      <w:r w:rsidR="00476CB0">
        <w:rPr>
          <w:sz w:val="22"/>
          <w:szCs w:val="22"/>
        </w:rPr>
        <w:t xml:space="preserve"> Further, Sprint maintains that the minimum 80-mile co-channel separation will provide an additional protection buffer for the remaining Miami-Dade public safety operations in the process of being retuned.</w:t>
      </w:r>
      <w:r w:rsidR="004B6DA4">
        <w:rPr>
          <w:rStyle w:val="FootnoteReference"/>
          <w:sz w:val="22"/>
          <w:szCs w:val="22"/>
        </w:rPr>
        <w:footnoteReference w:id="8"/>
      </w:r>
      <w:r w:rsidR="00004075">
        <w:rPr>
          <w:sz w:val="22"/>
          <w:szCs w:val="22"/>
          <w:lang w:val="en-US"/>
        </w:rPr>
        <w:t xml:space="preserve">  </w:t>
      </w:r>
      <w:r w:rsidR="00004075" w:rsidRPr="00004075">
        <w:rPr>
          <w:sz w:val="22"/>
          <w:szCs w:val="22"/>
          <w:lang w:val="en-US"/>
        </w:rPr>
        <w:t>Addi</w:t>
      </w:r>
      <w:r w:rsidR="00846506">
        <w:rPr>
          <w:sz w:val="22"/>
          <w:szCs w:val="22"/>
          <w:lang w:val="en-US"/>
        </w:rPr>
        <w:t xml:space="preserve">tionally, Sprint </w:t>
      </w:r>
      <w:r w:rsidR="00004075" w:rsidRPr="00004075">
        <w:rPr>
          <w:sz w:val="22"/>
          <w:szCs w:val="22"/>
          <w:lang w:val="en-US"/>
        </w:rPr>
        <w:t>will provide the State of Florida and Miami-Dade County 30 days advance notice of Sprint’s deployment and planned initiation date of operations.</w:t>
      </w:r>
      <w:r w:rsidR="00A14412">
        <w:rPr>
          <w:rStyle w:val="FootnoteReference"/>
          <w:sz w:val="22"/>
          <w:szCs w:val="22"/>
          <w:lang w:val="en-US"/>
        </w:rPr>
        <w:footnoteReference w:id="9"/>
      </w:r>
    </w:p>
    <w:p w14:paraId="64AEE6DD" w14:textId="77777777" w:rsidR="001220DA" w:rsidRDefault="001220DA" w:rsidP="00E95A3A">
      <w:pPr>
        <w:pStyle w:val="Header"/>
        <w:tabs>
          <w:tab w:val="center" w:pos="720"/>
        </w:tabs>
        <w:ind w:firstLine="720"/>
        <w:rPr>
          <w:sz w:val="22"/>
          <w:szCs w:val="22"/>
          <w:lang w:val="en-US"/>
        </w:rPr>
      </w:pPr>
    </w:p>
    <w:p w14:paraId="09A16927" w14:textId="0F34BFC4" w:rsidR="001220DA" w:rsidRDefault="001220DA" w:rsidP="001E2981">
      <w:pPr>
        <w:pStyle w:val="Header"/>
        <w:tabs>
          <w:tab w:val="center" w:pos="720"/>
        </w:tabs>
        <w:ind w:firstLine="720"/>
        <w:rPr>
          <w:sz w:val="22"/>
          <w:szCs w:val="22"/>
          <w:lang w:val="en-US"/>
        </w:rPr>
      </w:pPr>
      <w:r>
        <w:rPr>
          <w:sz w:val="22"/>
          <w:szCs w:val="22"/>
          <w:lang w:val="en-US"/>
        </w:rPr>
        <w:t xml:space="preserve">Sprint states that it provided both </w:t>
      </w:r>
      <w:r w:rsidR="00597C13">
        <w:rPr>
          <w:sz w:val="22"/>
          <w:szCs w:val="22"/>
          <w:lang w:val="en-US"/>
        </w:rPr>
        <w:t>the State of Florida and Miami-</w:t>
      </w:r>
      <w:r>
        <w:rPr>
          <w:sz w:val="22"/>
          <w:szCs w:val="22"/>
          <w:lang w:val="en-US"/>
        </w:rPr>
        <w:t>Dade County with details of Sprint’s proposed deployment and its proposed</w:t>
      </w:r>
      <w:r w:rsidR="00CD7010">
        <w:rPr>
          <w:sz w:val="22"/>
          <w:szCs w:val="22"/>
          <w:lang w:val="en-US"/>
        </w:rPr>
        <w:t xml:space="preserve"> measures to protect these jurisdictions from any risk of interference.</w:t>
      </w:r>
      <w:r w:rsidR="00F6775A">
        <w:rPr>
          <w:rStyle w:val="FootnoteReference"/>
          <w:sz w:val="22"/>
          <w:szCs w:val="22"/>
          <w:lang w:val="en-US"/>
        </w:rPr>
        <w:footnoteReference w:id="10"/>
      </w:r>
      <w:r w:rsidR="00CD7010">
        <w:rPr>
          <w:sz w:val="22"/>
          <w:szCs w:val="22"/>
          <w:lang w:val="en-US"/>
        </w:rPr>
        <w:t xml:space="preserve">  Sprint </w:t>
      </w:r>
      <w:r w:rsidRPr="001220DA">
        <w:rPr>
          <w:sz w:val="22"/>
          <w:szCs w:val="22"/>
          <w:lang w:val="en-US"/>
        </w:rPr>
        <w:t>also submits written confirmation from</w:t>
      </w:r>
      <w:r w:rsidR="00CD7010">
        <w:rPr>
          <w:sz w:val="22"/>
          <w:szCs w:val="22"/>
          <w:lang w:val="en-US"/>
        </w:rPr>
        <w:t xml:space="preserve"> both jurisdictions indicating that neither has a</w:t>
      </w:r>
      <w:r w:rsidR="00F6775A">
        <w:rPr>
          <w:sz w:val="22"/>
          <w:szCs w:val="22"/>
          <w:lang w:val="en-US"/>
        </w:rPr>
        <w:t>ny objection to a grant of the W</w:t>
      </w:r>
      <w:r w:rsidR="00CD7010">
        <w:rPr>
          <w:sz w:val="22"/>
          <w:szCs w:val="22"/>
          <w:lang w:val="en-US"/>
        </w:rPr>
        <w:t xml:space="preserve">aiver </w:t>
      </w:r>
      <w:r w:rsidR="00F6775A">
        <w:rPr>
          <w:sz w:val="22"/>
          <w:szCs w:val="22"/>
          <w:lang w:val="en-US"/>
        </w:rPr>
        <w:t>R</w:t>
      </w:r>
      <w:r w:rsidR="00CD7010">
        <w:rPr>
          <w:sz w:val="22"/>
          <w:szCs w:val="22"/>
          <w:lang w:val="en-US"/>
        </w:rPr>
        <w:t>equest in light of the 80-mile co-channel distance separation proposed by Sprint.</w:t>
      </w:r>
      <w:r w:rsidR="00CD7010">
        <w:rPr>
          <w:rStyle w:val="FootnoteReference"/>
          <w:sz w:val="22"/>
          <w:szCs w:val="22"/>
          <w:lang w:val="en-US"/>
        </w:rPr>
        <w:footnoteReference w:id="11"/>
      </w:r>
      <w:r w:rsidR="00CD7010">
        <w:rPr>
          <w:sz w:val="22"/>
          <w:szCs w:val="22"/>
          <w:lang w:val="en-US"/>
        </w:rPr>
        <w:t xml:space="preserve"> </w:t>
      </w:r>
      <w:r w:rsidR="001E2981">
        <w:rPr>
          <w:sz w:val="22"/>
          <w:szCs w:val="22"/>
          <w:lang w:val="en-US"/>
        </w:rPr>
        <w:t xml:space="preserve"> </w:t>
      </w:r>
    </w:p>
    <w:p w14:paraId="77596786" w14:textId="77777777" w:rsidR="00B65BF1" w:rsidRDefault="00B65BF1" w:rsidP="00E95A3A">
      <w:pPr>
        <w:pStyle w:val="Header"/>
        <w:tabs>
          <w:tab w:val="center" w:pos="720"/>
        </w:tabs>
        <w:ind w:firstLine="720"/>
        <w:rPr>
          <w:sz w:val="22"/>
          <w:szCs w:val="22"/>
          <w:lang w:val="en-US"/>
        </w:rPr>
      </w:pPr>
    </w:p>
    <w:p w14:paraId="3BE572FF" w14:textId="73B96990" w:rsidR="00B65BF1" w:rsidRDefault="00B65BF1" w:rsidP="00E95A3A">
      <w:pPr>
        <w:pStyle w:val="Header"/>
        <w:tabs>
          <w:tab w:val="center" w:pos="720"/>
        </w:tabs>
        <w:ind w:firstLine="720"/>
        <w:rPr>
          <w:sz w:val="22"/>
          <w:szCs w:val="22"/>
          <w:lang w:val="en-US"/>
        </w:rPr>
      </w:pPr>
      <w:r>
        <w:rPr>
          <w:sz w:val="22"/>
          <w:szCs w:val="22"/>
          <w:lang w:val="en-US"/>
        </w:rPr>
        <w:t>A waiver may be granted, pursuant to section 1.925 of the Commission’s rules, if the petitioner establishes that: (1) the underlying purpose of the rule would not be served or would be frustrated by application to the instant case, and the grant of the waiver would be in the public interest; or (2) where the petitioner establishes unique or unusual factual circumstances, that application of the rule would be inequitable, unduly burdensome or contrary to the public interest, or the applicant has no reasonable alternative.</w:t>
      </w:r>
      <w:r>
        <w:rPr>
          <w:rStyle w:val="FootnoteReference"/>
          <w:sz w:val="22"/>
          <w:szCs w:val="22"/>
          <w:lang w:val="en-US"/>
        </w:rPr>
        <w:footnoteReference w:id="12"/>
      </w:r>
    </w:p>
    <w:p w14:paraId="6E6C0380" w14:textId="77777777" w:rsidR="00B65BF1" w:rsidRDefault="00B65BF1" w:rsidP="00E95A3A">
      <w:pPr>
        <w:pStyle w:val="Header"/>
        <w:tabs>
          <w:tab w:val="center" w:pos="720"/>
        </w:tabs>
        <w:ind w:firstLine="720"/>
        <w:rPr>
          <w:sz w:val="22"/>
          <w:szCs w:val="22"/>
          <w:lang w:val="en-US"/>
        </w:rPr>
      </w:pPr>
    </w:p>
    <w:p w14:paraId="12115DE4" w14:textId="788B6BE8" w:rsidR="00B52A13" w:rsidRDefault="00B65BF1" w:rsidP="00E95A3A">
      <w:pPr>
        <w:pStyle w:val="Header"/>
        <w:tabs>
          <w:tab w:val="center" w:pos="720"/>
        </w:tabs>
        <w:ind w:firstLine="720"/>
        <w:rPr>
          <w:sz w:val="22"/>
          <w:szCs w:val="22"/>
          <w:lang w:val="en-US"/>
        </w:rPr>
      </w:pPr>
      <w:r>
        <w:rPr>
          <w:sz w:val="22"/>
          <w:szCs w:val="22"/>
          <w:lang w:val="en-US"/>
        </w:rPr>
        <w:t>Based on the unusual factual circumstances described by Sprint, we find t</w:t>
      </w:r>
      <w:r w:rsidR="00B52A13">
        <w:rPr>
          <w:sz w:val="22"/>
          <w:szCs w:val="22"/>
          <w:lang w:val="en-US"/>
        </w:rPr>
        <w:t>hat a waiver is warranted in this</w:t>
      </w:r>
      <w:r>
        <w:rPr>
          <w:sz w:val="22"/>
          <w:szCs w:val="22"/>
          <w:lang w:val="en-US"/>
        </w:rPr>
        <w:t xml:space="preserve"> case because application of the rule would </w:t>
      </w:r>
      <w:r w:rsidR="00597C13">
        <w:rPr>
          <w:sz w:val="22"/>
          <w:szCs w:val="22"/>
          <w:lang w:val="en-US"/>
        </w:rPr>
        <w:t>inhibit</w:t>
      </w:r>
      <w:r>
        <w:rPr>
          <w:sz w:val="22"/>
          <w:szCs w:val="22"/>
          <w:lang w:val="en-US"/>
        </w:rPr>
        <w:t xml:space="preserve"> LTE </w:t>
      </w:r>
      <w:r w:rsidR="00B52A13">
        <w:rPr>
          <w:sz w:val="22"/>
          <w:szCs w:val="22"/>
          <w:lang w:val="en-US"/>
        </w:rPr>
        <w:t>deployment</w:t>
      </w:r>
      <w:r>
        <w:rPr>
          <w:sz w:val="22"/>
          <w:szCs w:val="22"/>
          <w:lang w:val="en-US"/>
        </w:rPr>
        <w:t xml:space="preserve"> in 56 counties in the NPSPAC </w:t>
      </w:r>
      <w:r w:rsidRPr="00B65BF1">
        <w:rPr>
          <w:sz w:val="22"/>
          <w:szCs w:val="22"/>
          <w:lang w:val="en-US"/>
        </w:rPr>
        <w:t xml:space="preserve">Florida </w:t>
      </w:r>
      <w:r>
        <w:rPr>
          <w:sz w:val="22"/>
          <w:szCs w:val="22"/>
          <w:lang w:val="en-US"/>
        </w:rPr>
        <w:t>Region wher</w:t>
      </w:r>
      <w:r w:rsidR="00ED45CD">
        <w:rPr>
          <w:sz w:val="22"/>
          <w:szCs w:val="22"/>
          <w:lang w:val="en-US"/>
        </w:rPr>
        <w:t xml:space="preserve">e retuning has been completed.  </w:t>
      </w:r>
      <w:r w:rsidR="003A1760">
        <w:rPr>
          <w:sz w:val="22"/>
          <w:szCs w:val="22"/>
          <w:lang w:val="en-US"/>
        </w:rPr>
        <w:t>As Sprint argues, it would be inequitable and unduly burdensome to prohibit its subscribers’</w:t>
      </w:r>
      <w:r>
        <w:rPr>
          <w:sz w:val="22"/>
          <w:szCs w:val="22"/>
          <w:lang w:val="en-US"/>
        </w:rPr>
        <w:t xml:space="preserve"> access to these valuable </w:t>
      </w:r>
      <w:r w:rsidR="00095105">
        <w:rPr>
          <w:sz w:val="22"/>
          <w:szCs w:val="22"/>
          <w:lang w:val="en-US"/>
        </w:rPr>
        <w:t xml:space="preserve">broadband </w:t>
      </w:r>
      <w:r>
        <w:rPr>
          <w:sz w:val="22"/>
          <w:szCs w:val="22"/>
          <w:lang w:val="en-US"/>
        </w:rPr>
        <w:t>wireless services until the final two public safety licensees complete their retuning from the old NPSPAC band</w:t>
      </w:r>
      <w:r w:rsidR="003A1760">
        <w:rPr>
          <w:sz w:val="22"/>
          <w:szCs w:val="22"/>
          <w:lang w:val="en-US"/>
        </w:rPr>
        <w:t>, particularly where neither licensee objects to the planned deployment</w:t>
      </w:r>
      <w:r>
        <w:rPr>
          <w:sz w:val="22"/>
          <w:szCs w:val="22"/>
          <w:lang w:val="en-US"/>
        </w:rPr>
        <w:t>.</w:t>
      </w:r>
      <w:r w:rsidR="00ED45CD">
        <w:rPr>
          <w:rStyle w:val="FootnoteReference"/>
          <w:sz w:val="22"/>
          <w:szCs w:val="22"/>
          <w:lang w:val="en-US"/>
        </w:rPr>
        <w:footnoteReference w:id="13"/>
      </w:r>
      <w:r>
        <w:rPr>
          <w:sz w:val="22"/>
          <w:szCs w:val="22"/>
          <w:lang w:val="en-US"/>
        </w:rPr>
        <w:t xml:space="preserve">  Such a </w:t>
      </w:r>
      <w:r w:rsidR="001E0B03">
        <w:rPr>
          <w:sz w:val="22"/>
          <w:szCs w:val="22"/>
          <w:lang w:val="en-US"/>
        </w:rPr>
        <w:t xml:space="preserve">constraint </w:t>
      </w:r>
      <w:r>
        <w:rPr>
          <w:sz w:val="22"/>
          <w:szCs w:val="22"/>
          <w:lang w:val="en-US"/>
        </w:rPr>
        <w:t xml:space="preserve">on </w:t>
      </w:r>
      <w:r w:rsidR="001E0B03">
        <w:rPr>
          <w:sz w:val="22"/>
          <w:szCs w:val="22"/>
          <w:lang w:val="en-US"/>
        </w:rPr>
        <w:t xml:space="preserve">broadband deployment and </w:t>
      </w:r>
      <w:r>
        <w:rPr>
          <w:sz w:val="22"/>
          <w:szCs w:val="22"/>
          <w:lang w:val="en-US"/>
        </w:rPr>
        <w:t>consumer choice is contrary to the public interest</w:t>
      </w:r>
      <w:r w:rsidR="00EC0540">
        <w:rPr>
          <w:sz w:val="22"/>
          <w:szCs w:val="22"/>
          <w:lang w:val="en-US"/>
        </w:rPr>
        <w:t xml:space="preserve"> </w:t>
      </w:r>
      <w:r w:rsidR="006C3767">
        <w:rPr>
          <w:sz w:val="22"/>
          <w:szCs w:val="22"/>
          <w:lang w:val="en-US"/>
        </w:rPr>
        <w:t>in light of</w:t>
      </w:r>
      <w:r w:rsidR="00B81AC6">
        <w:rPr>
          <w:sz w:val="22"/>
          <w:szCs w:val="22"/>
          <w:lang w:val="en-US"/>
        </w:rPr>
        <w:t xml:space="preserve"> measures (</w:t>
      </w:r>
      <w:r w:rsidR="00B81AC6">
        <w:rPr>
          <w:i/>
          <w:sz w:val="22"/>
          <w:szCs w:val="22"/>
          <w:lang w:val="en-US"/>
        </w:rPr>
        <w:t xml:space="preserve">i.e. </w:t>
      </w:r>
      <w:r w:rsidR="006C3767">
        <w:rPr>
          <w:sz w:val="22"/>
          <w:szCs w:val="22"/>
          <w:lang w:val="en-US"/>
        </w:rPr>
        <w:t xml:space="preserve">co-channel separation and </w:t>
      </w:r>
      <w:r w:rsidR="000A2649">
        <w:rPr>
          <w:sz w:val="22"/>
          <w:szCs w:val="22"/>
          <w:lang w:val="en-US"/>
        </w:rPr>
        <w:t>advance</w:t>
      </w:r>
      <w:r w:rsidR="00B81AC6">
        <w:rPr>
          <w:sz w:val="22"/>
          <w:szCs w:val="22"/>
          <w:lang w:val="en-US"/>
        </w:rPr>
        <w:t xml:space="preserve"> </w:t>
      </w:r>
      <w:r w:rsidR="006C3767">
        <w:rPr>
          <w:sz w:val="22"/>
          <w:szCs w:val="22"/>
          <w:lang w:val="en-US"/>
        </w:rPr>
        <w:t>notification</w:t>
      </w:r>
      <w:r w:rsidR="00B81AC6">
        <w:rPr>
          <w:sz w:val="22"/>
          <w:szCs w:val="22"/>
          <w:lang w:val="en-US"/>
        </w:rPr>
        <w:t>)</w:t>
      </w:r>
      <w:r w:rsidR="006C3767">
        <w:rPr>
          <w:sz w:val="22"/>
          <w:szCs w:val="22"/>
          <w:lang w:val="en-US"/>
        </w:rPr>
        <w:t xml:space="preserve"> that will</w:t>
      </w:r>
      <w:r w:rsidR="00B81AC6">
        <w:rPr>
          <w:sz w:val="22"/>
          <w:szCs w:val="22"/>
          <w:lang w:val="en-US"/>
        </w:rPr>
        <w:t xml:space="preserve"> protect</w:t>
      </w:r>
      <w:r w:rsidR="00EC517E">
        <w:rPr>
          <w:sz w:val="22"/>
          <w:szCs w:val="22"/>
          <w:lang w:val="en-US"/>
        </w:rPr>
        <w:t xml:space="preserve"> public safety entities from harmful interference</w:t>
      </w:r>
      <w:r>
        <w:rPr>
          <w:sz w:val="22"/>
          <w:szCs w:val="22"/>
          <w:lang w:val="en-US"/>
        </w:rPr>
        <w:t>.</w:t>
      </w:r>
      <w:r w:rsidR="00095105">
        <w:rPr>
          <w:sz w:val="22"/>
          <w:szCs w:val="22"/>
          <w:lang w:val="en-US"/>
        </w:rPr>
        <w:t xml:space="preserve">  We therefore </w:t>
      </w:r>
      <w:r w:rsidR="00095105">
        <w:rPr>
          <w:sz w:val="22"/>
          <w:szCs w:val="22"/>
          <w:lang w:val="en-US"/>
        </w:rPr>
        <w:lastRenderedPageBreak/>
        <w:t xml:space="preserve">waive section </w:t>
      </w:r>
      <w:r w:rsidR="00095105" w:rsidRPr="00095105">
        <w:rPr>
          <w:sz w:val="22"/>
          <w:szCs w:val="22"/>
          <w:lang w:val="en-US"/>
        </w:rPr>
        <w:t>90.209(b)(7)</w:t>
      </w:r>
      <w:r w:rsidR="00095105">
        <w:rPr>
          <w:sz w:val="22"/>
          <w:szCs w:val="22"/>
          <w:lang w:val="en-US"/>
        </w:rPr>
        <w:t xml:space="preserve"> to permit Sprint to </w:t>
      </w:r>
      <w:r w:rsidR="002835D4">
        <w:rPr>
          <w:sz w:val="22"/>
          <w:szCs w:val="22"/>
          <w:lang w:val="en-US"/>
        </w:rPr>
        <w:t xml:space="preserve">accelerate its broadband deployment in the 56 counties listed in Attachment A.  </w:t>
      </w:r>
      <w:r w:rsidR="00B52A13">
        <w:rPr>
          <w:sz w:val="22"/>
          <w:szCs w:val="22"/>
          <w:lang w:val="en-US"/>
        </w:rPr>
        <w:t>This waiver is specifically conditioned on the following:</w:t>
      </w:r>
    </w:p>
    <w:p w14:paraId="57B3E699" w14:textId="77777777" w:rsidR="00B52A13" w:rsidRDefault="00B52A13" w:rsidP="00E95A3A">
      <w:pPr>
        <w:pStyle w:val="Header"/>
        <w:tabs>
          <w:tab w:val="center" w:pos="720"/>
        </w:tabs>
        <w:ind w:firstLine="720"/>
        <w:rPr>
          <w:sz w:val="22"/>
          <w:szCs w:val="22"/>
          <w:lang w:val="en-US"/>
        </w:rPr>
      </w:pPr>
    </w:p>
    <w:p w14:paraId="5121C78A" w14:textId="72B4843D" w:rsidR="00EC517E" w:rsidRDefault="00B52A13" w:rsidP="00EC517E">
      <w:pPr>
        <w:pStyle w:val="Header"/>
        <w:numPr>
          <w:ilvl w:val="0"/>
          <w:numId w:val="2"/>
        </w:numPr>
        <w:tabs>
          <w:tab w:val="center" w:pos="720"/>
        </w:tabs>
        <w:rPr>
          <w:sz w:val="22"/>
          <w:szCs w:val="22"/>
          <w:lang w:val="en-US"/>
        </w:rPr>
      </w:pPr>
      <w:r>
        <w:rPr>
          <w:sz w:val="22"/>
          <w:szCs w:val="22"/>
          <w:lang w:val="en-US"/>
        </w:rPr>
        <w:t>I</w:t>
      </w:r>
      <w:r w:rsidRPr="00B52A13">
        <w:rPr>
          <w:sz w:val="22"/>
          <w:szCs w:val="22"/>
          <w:lang w:val="en-US"/>
        </w:rPr>
        <w:t>n the 56 counties listed in Attachment A</w:t>
      </w:r>
      <w:r>
        <w:rPr>
          <w:sz w:val="22"/>
          <w:szCs w:val="22"/>
          <w:lang w:val="en-US"/>
        </w:rPr>
        <w:t>,</w:t>
      </w:r>
      <w:r w:rsidRPr="00B52A13">
        <w:rPr>
          <w:sz w:val="22"/>
          <w:szCs w:val="22"/>
          <w:lang w:val="en-US"/>
        </w:rPr>
        <w:t xml:space="preserve"> </w:t>
      </w:r>
      <w:r w:rsidR="003B2548">
        <w:rPr>
          <w:sz w:val="22"/>
          <w:szCs w:val="22"/>
          <w:lang w:val="en-US"/>
        </w:rPr>
        <w:t xml:space="preserve">Sprint </w:t>
      </w:r>
      <w:r>
        <w:rPr>
          <w:sz w:val="22"/>
          <w:szCs w:val="22"/>
          <w:lang w:val="en-US"/>
        </w:rPr>
        <w:t>must maintain</w:t>
      </w:r>
      <w:r w:rsidR="003B2548">
        <w:rPr>
          <w:sz w:val="22"/>
          <w:szCs w:val="22"/>
          <w:lang w:val="en-US"/>
        </w:rPr>
        <w:t xml:space="preserve"> a minimum 80-mile co-channel separation between Sprint’s proposed operations in </w:t>
      </w:r>
      <w:r w:rsidR="003B2548" w:rsidRPr="003B2548">
        <w:rPr>
          <w:sz w:val="22"/>
          <w:szCs w:val="22"/>
          <w:lang w:val="en-US"/>
        </w:rPr>
        <w:t>821-824/866-869 MHz</w:t>
      </w:r>
      <w:r w:rsidR="003B2548">
        <w:rPr>
          <w:sz w:val="22"/>
          <w:szCs w:val="22"/>
          <w:lang w:val="en-US"/>
        </w:rPr>
        <w:t xml:space="preserve"> and the closest Miami-Dade County or State of Florida site still operational in the old NPSPAC band.  </w:t>
      </w:r>
    </w:p>
    <w:p w14:paraId="0B79E74C" w14:textId="77777777" w:rsidR="00EC517E" w:rsidRDefault="00EC517E" w:rsidP="003B7197">
      <w:pPr>
        <w:pStyle w:val="Header"/>
        <w:tabs>
          <w:tab w:val="center" w:pos="720"/>
        </w:tabs>
        <w:ind w:left="1080"/>
        <w:rPr>
          <w:sz w:val="22"/>
          <w:szCs w:val="22"/>
          <w:lang w:val="en-US"/>
        </w:rPr>
      </w:pPr>
    </w:p>
    <w:p w14:paraId="12421059" w14:textId="4B7B73A2" w:rsidR="00EC517E" w:rsidRPr="00EC517E" w:rsidRDefault="00EC517E" w:rsidP="00EC517E">
      <w:pPr>
        <w:pStyle w:val="Header"/>
        <w:numPr>
          <w:ilvl w:val="0"/>
          <w:numId w:val="2"/>
        </w:numPr>
        <w:tabs>
          <w:tab w:val="center" w:pos="720"/>
        </w:tabs>
        <w:rPr>
          <w:sz w:val="22"/>
          <w:szCs w:val="22"/>
          <w:lang w:val="en-US"/>
        </w:rPr>
      </w:pPr>
      <w:r>
        <w:rPr>
          <w:sz w:val="22"/>
          <w:szCs w:val="22"/>
          <w:lang w:val="en-US"/>
        </w:rPr>
        <w:t>Sprint must p</w:t>
      </w:r>
      <w:r w:rsidRPr="00EC517E">
        <w:rPr>
          <w:sz w:val="22"/>
          <w:szCs w:val="22"/>
          <w:lang w:val="en-US"/>
        </w:rPr>
        <w:t xml:space="preserve">rovide the State of Florida and Miami-Dade County </w:t>
      </w:r>
      <w:r>
        <w:rPr>
          <w:sz w:val="22"/>
          <w:szCs w:val="22"/>
          <w:lang w:val="en-US"/>
        </w:rPr>
        <w:t xml:space="preserve">with </w:t>
      </w:r>
      <w:r w:rsidRPr="00EC517E">
        <w:rPr>
          <w:sz w:val="22"/>
          <w:szCs w:val="22"/>
          <w:lang w:val="en-US"/>
        </w:rPr>
        <w:t>30 days advance notice of Sprint’s deployment and planned initiation date of operations.</w:t>
      </w:r>
    </w:p>
    <w:p w14:paraId="0006F2DA" w14:textId="77777777" w:rsidR="00B52A13" w:rsidRDefault="00B52A13" w:rsidP="00B52A13">
      <w:pPr>
        <w:pStyle w:val="Header"/>
        <w:tabs>
          <w:tab w:val="center" w:pos="720"/>
        </w:tabs>
        <w:ind w:left="1080"/>
        <w:rPr>
          <w:sz w:val="22"/>
          <w:szCs w:val="22"/>
          <w:lang w:val="en-US"/>
        </w:rPr>
      </w:pPr>
    </w:p>
    <w:p w14:paraId="493F8192" w14:textId="27DEC2A6" w:rsidR="00B52A13" w:rsidRDefault="00B52A13" w:rsidP="00B52A13">
      <w:pPr>
        <w:pStyle w:val="Header"/>
        <w:numPr>
          <w:ilvl w:val="0"/>
          <w:numId w:val="2"/>
        </w:numPr>
        <w:tabs>
          <w:tab w:val="center" w:pos="720"/>
        </w:tabs>
        <w:rPr>
          <w:sz w:val="22"/>
          <w:szCs w:val="22"/>
          <w:lang w:val="en-US"/>
        </w:rPr>
      </w:pPr>
      <w:r>
        <w:rPr>
          <w:sz w:val="22"/>
          <w:szCs w:val="22"/>
          <w:lang w:val="en-US"/>
        </w:rPr>
        <w:t xml:space="preserve">Sprint may not deploy LTE in </w:t>
      </w:r>
      <w:r w:rsidRPr="00B52A13">
        <w:rPr>
          <w:sz w:val="22"/>
          <w:szCs w:val="22"/>
          <w:lang w:val="en-US"/>
        </w:rPr>
        <w:t>821-824/866-869 MHz</w:t>
      </w:r>
      <w:r>
        <w:rPr>
          <w:sz w:val="22"/>
          <w:szCs w:val="22"/>
          <w:lang w:val="en-US"/>
        </w:rPr>
        <w:t xml:space="preserve"> in the 11 counties listed in Attachment B until </w:t>
      </w:r>
      <w:r w:rsidRPr="00B52A13">
        <w:rPr>
          <w:sz w:val="22"/>
          <w:szCs w:val="22"/>
          <w:lang w:val="en-US"/>
        </w:rPr>
        <w:t xml:space="preserve">800 MHz band reconfiguration has been completed in the </w:t>
      </w:r>
      <w:r>
        <w:rPr>
          <w:sz w:val="22"/>
          <w:szCs w:val="22"/>
          <w:lang w:val="en-US"/>
        </w:rPr>
        <w:t xml:space="preserve">entire </w:t>
      </w:r>
      <w:r w:rsidRPr="00B52A13">
        <w:rPr>
          <w:sz w:val="22"/>
          <w:szCs w:val="22"/>
          <w:lang w:val="en-US"/>
        </w:rPr>
        <w:t>NPSPAC Florida Region</w:t>
      </w:r>
      <w:r>
        <w:rPr>
          <w:sz w:val="22"/>
          <w:szCs w:val="22"/>
          <w:lang w:val="en-US"/>
        </w:rPr>
        <w:t>.</w:t>
      </w:r>
    </w:p>
    <w:p w14:paraId="245A890B" w14:textId="77777777" w:rsidR="00B52A13" w:rsidRDefault="00B52A13" w:rsidP="00B52A13">
      <w:pPr>
        <w:pStyle w:val="Header"/>
        <w:tabs>
          <w:tab w:val="center" w:pos="720"/>
        </w:tabs>
        <w:ind w:left="1080"/>
        <w:rPr>
          <w:sz w:val="22"/>
          <w:szCs w:val="22"/>
          <w:lang w:val="en-US"/>
        </w:rPr>
      </w:pPr>
    </w:p>
    <w:p w14:paraId="40CF2FF9" w14:textId="52F1CE7E" w:rsidR="00B65BF1" w:rsidRPr="001220DA" w:rsidRDefault="00597C13" w:rsidP="00B52A13">
      <w:pPr>
        <w:pStyle w:val="Header"/>
        <w:ind w:firstLine="720"/>
        <w:rPr>
          <w:sz w:val="22"/>
          <w:szCs w:val="22"/>
          <w:lang w:val="en-US"/>
        </w:rPr>
      </w:pPr>
      <w:r w:rsidRPr="00597C13">
        <w:rPr>
          <w:sz w:val="22"/>
          <w:szCs w:val="22"/>
          <w:lang w:val="en-US"/>
        </w:rPr>
        <w:t xml:space="preserve">As conditioned, our grant will facilitate more rapid broadband availability in the State of Florida, while protecting ongoing public safety operations in the </w:t>
      </w:r>
      <w:r>
        <w:rPr>
          <w:sz w:val="22"/>
          <w:szCs w:val="22"/>
          <w:lang w:val="en-US"/>
        </w:rPr>
        <w:t>old NPSPAC</w:t>
      </w:r>
      <w:r w:rsidRPr="00597C13">
        <w:rPr>
          <w:sz w:val="22"/>
          <w:szCs w:val="22"/>
          <w:lang w:val="en-US"/>
        </w:rPr>
        <w:t xml:space="preserve"> band until they are fully retuned.</w:t>
      </w:r>
      <w:r>
        <w:rPr>
          <w:sz w:val="22"/>
          <w:szCs w:val="22"/>
          <w:lang w:val="en-US"/>
        </w:rPr>
        <w:t xml:space="preserve">  </w:t>
      </w:r>
      <w:r w:rsidR="00E94C70">
        <w:rPr>
          <w:sz w:val="22"/>
          <w:szCs w:val="22"/>
          <w:lang w:val="en-US"/>
        </w:rPr>
        <w:t xml:space="preserve">The conditions of this wavier will terminate when the 800 MHz band reconfiguration has been completed in the </w:t>
      </w:r>
      <w:r w:rsidR="00B52A13">
        <w:rPr>
          <w:sz w:val="22"/>
          <w:szCs w:val="22"/>
          <w:lang w:val="en-US"/>
        </w:rPr>
        <w:t xml:space="preserve">entire </w:t>
      </w:r>
      <w:r w:rsidR="00E94C70">
        <w:rPr>
          <w:sz w:val="22"/>
          <w:szCs w:val="22"/>
          <w:lang w:val="en-US"/>
        </w:rPr>
        <w:t>NPSPAC Florida Region.</w:t>
      </w:r>
    </w:p>
    <w:p w14:paraId="022EA121" w14:textId="539D606B" w:rsidR="002B3785" w:rsidRDefault="002B3785">
      <w:pPr>
        <w:rPr>
          <w:sz w:val="22"/>
          <w:szCs w:val="22"/>
        </w:rPr>
      </w:pPr>
    </w:p>
    <w:p w14:paraId="44BFB6EE" w14:textId="0A93D5D2" w:rsidR="00C453BE" w:rsidRPr="00293A30" w:rsidRDefault="00E94C70" w:rsidP="00C453BE">
      <w:pPr>
        <w:ind w:firstLine="720"/>
        <w:rPr>
          <w:sz w:val="22"/>
          <w:szCs w:val="22"/>
        </w:rPr>
      </w:pPr>
      <w:r>
        <w:rPr>
          <w:sz w:val="22"/>
          <w:szCs w:val="22"/>
        </w:rPr>
        <w:t>Accordingly, IT IS ORDERED that,</w:t>
      </w:r>
      <w:r w:rsidR="00C453BE" w:rsidRPr="00293A30">
        <w:rPr>
          <w:sz w:val="22"/>
          <w:szCs w:val="22"/>
        </w:rPr>
        <w:t xml:space="preserve"> pursuant to </w:t>
      </w:r>
      <w:r w:rsidR="00597C13">
        <w:rPr>
          <w:sz w:val="22"/>
          <w:szCs w:val="22"/>
        </w:rPr>
        <w:t>section 4(i</w:t>
      </w:r>
      <w:r>
        <w:rPr>
          <w:sz w:val="22"/>
          <w:szCs w:val="22"/>
        </w:rPr>
        <w:t>) and 303(r) of the Communications Act of 1934, as amended, 47 U.S.C. §§ 154(i),</w:t>
      </w:r>
      <w:r w:rsidR="00C453BE" w:rsidRPr="00293A30">
        <w:rPr>
          <w:sz w:val="22"/>
          <w:szCs w:val="22"/>
        </w:rPr>
        <w:t xml:space="preserve"> 3</w:t>
      </w:r>
      <w:r>
        <w:rPr>
          <w:sz w:val="22"/>
          <w:szCs w:val="22"/>
        </w:rPr>
        <w:t xml:space="preserve">03(r), </w:t>
      </w:r>
      <w:r w:rsidR="00B52A13">
        <w:rPr>
          <w:sz w:val="22"/>
          <w:szCs w:val="22"/>
        </w:rPr>
        <w:t xml:space="preserve">and </w:t>
      </w:r>
      <w:r>
        <w:rPr>
          <w:sz w:val="22"/>
          <w:szCs w:val="22"/>
        </w:rPr>
        <w:t xml:space="preserve">sections 0.331 and 1.925 of the Commission’s rules, </w:t>
      </w:r>
      <w:r w:rsidRPr="00E94C70">
        <w:rPr>
          <w:sz w:val="22"/>
          <w:szCs w:val="22"/>
        </w:rPr>
        <w:t>47 C.F.R. §§</w:t>
      </w:r>
      <w:r>
        <w:rPr>
          <w:sz w:val="22"/>
          <w:szCs w:val="22"/>
        </w:rPr>
        <w:t xml:space="preserve"> 0.331,</w:t>
      </w:r>
      <w:r w:rsidRPr="00E94C70">
        <w:rPr>
          <w:sz w:val="22"/>
          <w:szCs w:val="22"/>
        </w:rPr>
        <w:t xml:space="preserve"> 1.925</w:t>
      </w:r>
      <w:r>
        <w:rPr>
          <w:sz w:val="22"/>
          <w:szCs w:val="22"/>
        </w:rPr>
        <w:t>, Sprint Corporation’</w:t>
      </w:r>
      <w:r w:rsidR="00597C13">
        <w:rPr>
          <w:sz w:val="22"/>
          <w:szCs w:val="22"/>
        </w:rPr>
        <w:t xml:space="preserve">s waiver request IS GRANTED </w:t>
      </w:r>
      <w:r>
        <w:rPr>
          <w:sz w:val="22"/>
          <w:szCs w:val="22"/>
        </w:rPr>
        <w:t>to the extent described above</w:t>
      </w:r>
      <w:r w:rsidR="00C453BE" w:rsidRPr="00293A30">
        <w:rPr>
          <w:sz w:val="22"/>
          <w:szCs w:val="22"/>
        </w:rPr>
        <w:t>.</w:t>
      </w:r>
    </w:p>
    <w:p w14:paraId="09D9B470" w14:textId="77777777" w:rsidR="00634444" w:rsidRPr="00293A30" w:rsidRDefault="00634444" w:rsidP="00634444">
      <w:pPr>
        <w:spacing w:after="220"/>
        <w:ind w:firstLine="720"/>
        <w:rPr>
          <w:color w:val="000000"/>
          <w:sz w:val="22"/>
          <w:szCs w:val="22"/>
        </w:rPr>
      </w:pPr>
    </w:p>
    <w:p w14:paraId="7FEBD658" w14:textId="77777777" w:rsidR="000449B8" w:rsidRPr="00293A30" w:rsidRDefault="000449B8" w:rsidP="00634444">
      <w:pPr>
        <w:spacing w:after="220"/>
        <w:ind w:left="4320" w:firstLine="720"/>
        <w:rPr>
          <w:sz w:val="22"/>
          <w:szCs w:val="22"/>
        </w:rPr>
      </w:pPr>
      <w:r w:rsidRPr="00293A30">
        <w:rPr>
          <w:sz w:val="22"/>
          <w:szCs w:val="22"/>
        </w:rPr>
        <w:t>Sincerely,</w:t>
      </w:r>
    </w:p>
    <w:p w14:paraId="158AEDE0" w14:textId="77777777" w:rsidR="000449B8" w:rsidRPr="00293A30" w:rsidRDefault="000449B8" w:rsidP="000449B8">
      <w:pPr>
        <w:rPr>
          <w:sz w:val="22"/>
          <w:szCs w:val="22"/>
        </w:rPr>
      </w:pPr>
    </w:p>
    <w:p w14:paraId="0DD46040" w14:textId="77777777" w:rsidR="00D17198" w:rsidRPr="00293A30" w:rsidRDefault="00D17198" w:rsidP="000449B8">
      <w:pPr>
        <w:rPr>
          <w:sz w:val="22"/>
          <w:szCs w:val="22"/>
        </w:rPr>
      </w:pPr>
    </w:p>
    <w:p w14:paraId="277D41BB" w14:textId="77777777" w:rsidR="000449B8" w:rsidRPr="00293A30" w:rsidRDefault="004E2554" w:rsidP="00D17198">
      <w:pPr>
        <w:ind w:left="4320" w:firstLine="720"/>
        <w:rPr>
          <w:sz w:val="22"/>
          <w:szCs w:val="22"/>
        </w:rPr>
      </w:pPr>
      <w:r w:rsidRPr="00293A30">
        <w:rPr>
          <w:sz w:val="22"/>
          <w:szCs w:val="22"/>
        </w:rPr>
        <w:t>Roger S. Noel</w:t>
      </w:r>
    </w:p>
    <w:p w14:paraId="0B4F6B8B" w14:textId="77777777" w:rsidR="000449B8" w:rsidRPr="00293A30" w:rsidRDefault="000449B8" w:rsidP="00D17198">
      <w:pPr>
        <w:ind w:left="4320" w:firstLine="720"/>
        <w:rPr>
          <w:sz w:val="22"/>
          <w:szCs w:val="22"/>
        </w:rPr>
      </w:pPr>
      <w:r w:rsidRPr="00293A30">
        <w:rPr>
          <w:sz w:val="22"/>
          <w:szCs w:val="22"/>
        </w:rPr>
        <w:t>Chief, Mobility Division</w:t>
      </w:r>
    </w:p>
    <w:p w14:paraId="00DD675A" w14:textId="77777777" w:rsidR="007E4444" w:rsidRDefault="000449B8" w:rsidP="00D17198">
      <w:pPr>
        <w:ind w:left="4320" w:firstLine="720"/>
        <w:rPr>
          <w:sz w:val="22"/>
          <w:szCs w:val="22"/>
        </w:rPr>
      </w:pPr>
      <w:r w:rsidRPr="00293A30">
        <w:rPr>
          <w:sz w:val="22"/>
          <w:szCs w:val="22"/>
        </w:rPr>
        <w:t>Wireless Telecommunications Bureau</w:t>
      </w:r>
    </w:p>
    <w:p w14:paraId="48D28F7B" w14:textId="77777777" w:rsidR="008B5685" w:rsidRPr="00293A30" w:rsidRDefault="008B5685" w:rsidP="00D17198">
      <w:pPr>
        <w:ind w:left="4320" w:firstLine="720"/>
        <w:rPr>
          <w:sz w:val="22"/>
          <w:szCs w:val="22"/>
        </w:rPr>
      </w:pPr>
      <w:r w:rsidRPr="00293A30">
        <w:rPr>
          <w:sz w:val="22"/>
          <w:szCs w:val="22"/>
        </w:rPr>
        <w:t>Federal Communications Commission</w:t>
      </w:r>
    </w:p>
    <w:p w14:paraId="50D74CD5" w14:textId="647EA27E" w:rsidR="00597C13" w:rsidRDefault="00597C13">
      <w:pPr>
        <w:rPr>
          <w:sz w:val="22"/>
          <w:szCs w:val="22"/>
        </w:rPr>
      </w:pPr>
      <w:r>
        <w:rPr>
          <w:sz w:val="22"/>
          <w:szCs w:val="22"/>
        </w:rPr>
        <w:br w:type="page"/>
      </w:r>
    </w:p>
    <w:p w14:paraId="692CA75E" w14:textId="6A70881C" w:rsidR="000449B8" w:rsidRPr="00597C13" w:rsidRDefault="00597C13" w:rsidP="00597C13">
      <w:pPr>
        <w:jc w:val="center"/>
        <w:rPr>
          <w:b/>
          <w:sz w:val="22"/>
          <w:szCs w:val="22"/>
        </w:rPr>
      </w:pPr>
      <w:r w:rsidRPr="00597C13">
        <w:rPr>
          <w:b/>
          <w:sz w:val="22"/>
          <w:szCs w:val="22"/>
        </w:rPr>
        <w:t>Attachment A – List of Florida Counties Subject to Waiver Request</w:t>
      </w:r>
    </w:p>
    <w:p w14:paraId="4AF9C111" w14:textId="77777777" w:rsidR="00597C13" w:rsidRDefault="00597C13" w:rsidP="000449B8">
      <w:pPr>
        <w:rPr>
          <w:sz w:val="22"/>
          <w:szCs w:val="22"/>
        </w:rPr>
      </w:pPr>
    </w:p>
    <w:tbl>
      <w:tblPr>
        <w:tblStyle w:val="TableGrid"/>
        <w:tblW w:w="0" w:type="auto"/>
        <w:tblLook w:val="04A0" w:firstRow="1" w:lastRow="0" w:firstColumn="1" w:lastColumn="0" w:noHBand="0" w:noVBand="1"/>
      </w:tblPr>
      <w:tblGrid>
        <w:gridCol w:w="4788"/>
        <w:gridCol w:w="4788"/>
      </w:tblGrid>
      <w:tr w:rsidR="00597C13" w14:paraId="434A172C" w14:textId="77777777" w:rsidTr="00597C13">
        <w:tc>
          <w:tcPr>
            <w:tcW w:w="4788" w:type="dxa"/>
          </w:tcPr>
          <w:p w14:paraId="7A8BA437" w14:textId="5EEDB158" w:rsidR="00597C13" w:rsidRDefault="00597C13" w:rsidP="000449B8">
            <w:pPr>
              <w:rPr>
                <w:sz w:val="22"/>
                <w:szCs w:val="22"/>
              </w:rPr>
            </w:pPr>
            <w:r>
              <w:rPr>
                <w:sz w:val="22"/>
                <w:szCs w:val="22"/>
              </w:rPr>
              <w:t>Alachua</w:t>
            </w:r>
          </w:p>
        </w:tc>
        <w:tc>
          <w:tcPr>
            <w:tcW w:w="4788" w:type="dxa"/>
          </w:tcPr>
          <w:p w14:paraId="5A27C8AA" w14:textId="48EC1678" w:rsidR="00597C13" w:rsidRDefault="00830C80" w:rsidP="000449B8">
            <w:pPr>
              <w:rPr>
                <w:sz w:val="22"/>
                <w:szCs w:val="22"/>
              </w:rPr>
            </w:pPr>
            <w:r>
              <w:rPr>
                <w:sz w:val="22"/>
                <w:szCs w:val="22"/>
              </w:rPr>
              <w:t>Lafayette</w:t>
            </w:r>
          </w:p>
        </w:tc>
      </w:tr>
      <w:tr w:rsidR="00597C13" w14:paraId="27AD62D9" w14:textId="77777777" w:rsidTr="00597C13">
        <w:tc>
          <w:tcPr>
            <w:tcW w:w="4788" w:type="dxa"/>
          </w:tcPr>
          <w:p w14:paraId="5241CA83" w14:textId="5FB95682" w:rsidR="00597C13" w:rsidRDefault="00597C13" w:rsidP="000449B8">
            <w:pPr>
              <w:rPr>
                <w:sz w:val="22"/>
                <w:szCs w:val="22"/>
              </w:rPr>
            </w:pPr>
            <w:r>
              <w:rPr>
                <w:sz w:val="22"/>
                <w:szCs w:val="22"/>
              </w:rPr>
              <w:t>Baker</w:t>
            </w:r>
          </w:p>
        </w:tc>
        <w:tc>
          <w:tcPr>
            <w:tcW w:w="4788" w:type="dxa"/>
          </w:tcPr>
          <w:p w14:paraId="4102E8E5" w14:textId="2426DF20" w:rsidR="00597C13" w:rsidRDefault="00830C80" w:rsidP="000449B8">
            <w:pPr>
              <w:rPr>
                <w:sz w:val="22"/>
                <w:szCs w:val="22"/>
              </w:rPr>
            </w:pPr>
            <w:r>
              <w:rPr>
                <w:sz w:val="22"/>
                <w:szCs w:val="22"/>
              </w:rPr>
              <w:t>Lake</w:t>
            </w:r>
          </w:p>
        </w:tc>
      </w:tr>
      <w:tr w:rsidR="00597C13" w14:paraId="1A90DF9F" w14:textId="77777777" w:rsidTr="00597C13">
        <w:tc>
          <w:tcPr>
            <w:tcW w:w="4788" w:type="dxa"/>
          </w:tcPr>
          <w:p w14:paraId="05A30EF6" w14:textId="64389563" w:rsidR="00597C13" w:rsidRDefault="00597C13" w:rsidP="000449B8">
            <w:pPr>
              <w:rPr>
                <w:sz w:val="22"/>
                <w:szCs w:val="22"/>
              </w:rPr>
            </w:pPr>
            <w:r>
              <w:rPr>
                <w:sz w:val="22"/>
                <w:szCs w:val="22"/>
              </w:rPr>
              <w:t>Bay</w:t>
            </w:r>
          </w:p>
        </w:tc>
        <w:tc>
          <w:tcPr>
            <w:tcW w:w="4788" w:type="dxa"/>
          </w:tcPr>
          <w:p w14:paraId="5B81B886" w14:textId="024A924A" w:rsidR="00597C13" w:rsidRDefault="00830C80" w:rsidP="000449B8">
            <w:pPr>
              <w:rPr>
                <w:sz w:val="22"/>
                <w:szCs w:val="22"/>
              </w:rPr>
            </w:pPr>
            <w:r>
              <w:rPr>
                <w:sz w:val="22"/>
                <w:szCs w:val="22"/>
              </w:rPr>
              <w:t>Leon</w:t>
            </w:r>
          </w:p>
        </w:tc>
      </w:tr>
      <w:tr w:rsidR="00597C13" w14:paraId="3864F7CB" w14:textId="77777777" w:rsidTr="00597C13">
        <w:tc>
          <w:tcPr>
            <w:tcW w:w="4788" w:type="dxa"/>
          </w:tcPr>
          <w:p w14:paraId="2294F820" w14:textId="69C7E0D6" w:rsidR="00597C13" w:rsidRDefault="00597C13" w:rsidP="000449B8">
            <w:pPr>
              <w:rPr>
                <w:sz w:val="22"/>
                <w:szCs w:val="22"/>
              </w:rPr>
            </w:pPr>
            <w:r>
              <w:rPr>
                <w:sz w:val="22"/>
                <w:szCs w:val="22"/>
              </w:rPr>
              <w:t>Bradford</w:t>
            </w:r>
          </w:p>
        </w:tc>
        <w:tc>
          <w:tcPr>
            <w:tcW w:w="4788" w:type="dxa"/>
          </w:tcPr>
          <w:p w14:paraId="47FFB8E5" w14:textId="01DAD530" w:rsidR="00597C13" w:rsidRDefault="00830C80" w:rsidP="000449B8">
            <w:pPr>
              <w:rPr>
                <w:sz w:val="22"/>
                <w:szCs w:val="22"/>
              </w:rPr>
            </w:pPr>
            <w:r>
              <w:rPr>
                <w:sz w:val="22"/>
                <w:szCs w:val="22"/>
              </w:rPr>
              <w:t>Levy</w:t>
            </w:r>
          </w:p>
        </w:tc>
      </w:tr>
      <w:tr w:rsidR="00597C13" w14:paraId="6CA42F2F" w14:textId="77777777" w:rsidTr="00597C13">
        <w:tc>
          <w:tcPr>
            <w:tcW w:w="4788" w:type="dxa"/>
          </w:tcPr>
          <w:p w14:paraId="4B658C57" w14:textId="340964D5" w:rsidR="00597C13" w:rsidRDefault="00597C13" w:rsidP="000449B8">
            <w:pPr>
              <w:rPr>
                <w:sz w:val="22"/>
                <w:szCs w:val="22"/>
              </w:rPr>
            </w:pPr>
            <w:r>
              <w:rPr>
                <w:sz w:val="22"/>
                <w:szCs w:val="22"/>
              </w:rPr>
              <w:t>Brevard</w:t>
            </w:r>
          </w:p>
        </w:tc>
        <w:tc>
          <w:tcPr>
            <w:tcW w:w="4788" w:type="dxa"/>
          </w:tcPr>
          <w:p w14:paraId="11C5CF08" w14:textId="43313DAC" w:rsidR="00597C13" w:rsidRDefault="00830C80" w:rsidP="000449B8">
            <w:pPr>
              <w:rPr>
                <w:sz w:val="22"/>
                <w:szCs w:val="22"/>
              </w:rPr>
            </w:pPr>
            <w:r>
              <w:rPr>
                <w:sz w:val="22"/>
                <w:szCs w:val="22"/>
              </w:rPr>
              <w:t>Liberty</w:t>
            </w:r>
          </w:p>
        </w:tc>
      </w:tr>
      <w:tr w:rsidR="00597C13" w14:paraId="545B148B" w14:textId="77777777" w:rsidTr="00597C13">
        <w:tc>
          <w:tcPr>
            <w:tcW w:w="4788" w:type="dxa"/>
          </w:tcPr>
          <w:p w14:paraId="6CBE5576" w14:textId="676E1937" w:rsidR="00597C13" w:rsidRDefault="00597C13" w:rsidP="000449B8">
            <w:pPr>
              <w:rPr>
                <w:sz w:val="22"/>
                <w:szCs w:val="22"/>
              </w:rPr>
            </w:pPr>
            <w:r>
              <w:rPr>
                <w:sz w:val="22"/>
                <w:szCs w:val="22"/>
              </w:rPr>
              <w:t>Calhoun</w:t>
            </w:r>
          </w:p>
        </w:tc>
        <w:tc>
          <w:tcPr>
            <w:tcW w:w="4788" w:type="dxa"/>
          </w:tcPr>
          <w:p w14:paraId="5CE18FEB" w14:textId="5317D8E7" w:rsidR="00597C13" w:rsidRDefault="00830C80" w:rsidP="000449B8">
            <w:pPr>
              <w:rPr>
                <w:sz w:val="22"/>
                <w:szCs w:val="22"/>
              </w:rPr>
            </w:pPr>
            <w:r>
              <w:rPr>
                <w:sz w:val="22"/>
                <w:szCs w:val="22"/>
              </w:rPr>
              <w:t>Madison</w:t>
            </w:r>
          </w:p>
        </w:tc>
      </w:tr>
      <w:tr w:rsidR="00597C13" w14:paraId="067F7C9B" w14:textId="77777777" w:rsidTr="00597C13">
        <w:tc>
          <w:tcPr>
            <w:tcW w:w="4788" w:type="dxa"/>
          </w:tcPr>
          <w:p w14:paraId="66BCCCDB" w14:textId="05CA4B05" w:rsidR="00597C13" w:rsidRDefault="00597C13" w:rsidP="000449B8">
            <w:pPr>
              <w:rPr>
                <w:sz w:val="22"/>
                <w:szCs w:val="22"/>
              </w:rPr>
            </w:pPr>
            <w:r>
              <w:rPr>
                <w:sz w:val="22"/>
                <w:szCs w:val="22"/>
              </w:rPr>
              <w:t>Charlotte</w:t>
            </w:r>
          </w:p>
        </w:tc>
        <w:tc>
          <w:tcPr>
            <w:tcW w:w="4788" w:type="dxa"/>
          </w:tcPr>
          <w:p w14:paraId="740BDF39" w14:textId="54E8FDEB" w:rsidR="00597C13" w:rsidRDefault="00830C80" w:rsidP="000449B8">
            <w:pPr>
              <w:rPr>
                <w:sz w:val="22"/>
                <w:szCs w:val="22"/>
              </w:rPr>
            </w:pPr>
            <w:r>
              <w:rPr>
                <w:sz w:val="22"/>
                <w:szCs w:val="22"/>
              </w:rPr>
              <w:t>Manatee</w:t>
            </w:r>
          </w:p>
        </w:tc>
      </w:tr>
      <w:tr w:rsidR="00597C13" w14:paraId="56C11253" w14:textId="77777777" w:rsidTr="00597C13">
        <w:tc>
          <w:tcPr>
            <w:tcW w:w="4788" w:type="dxa"/>
          </w:tcPr>
          <w:p w14:paraId="06B7AA51" w14:textId="3CACB1D8" w:rsidR="00597C13" w:rsidRDefault="00597C13" w:rsidP="000449B8">
            <w:pPr>
              <w:rPr>
                <w:sz w:val="22"/>
                <w:szCs w:val="22"/>
              </w:rPr>
            </w:pPr>
            <w:r>
              <w:rPr>
                <w:sz w:val="22"/>
                <w:szCs w:val="22"/>
              </w:rPr>
              <w:t>Citrus</w:t>
            </w:r>
          </w:p>
        </w:tc>
        <w:tc>
          <w:tcPr>
            <w:tcW w:w="4788" w:type="dxa"/>
          </w:tcPr>
          <w:p w14:paraId="4F0D92AF" w14:textId="0961FEB6" w:rsidR="00597C13" w:rsidRDefault="00830C80" w:rsidP="000449B8">
            <w:pPr>
              <w:rPr>
                <w:sz w:val="22"/>
                <w:szCs w:val="22"/>
              </w:rPr>
            </w:pPr>
            <w:r>
              <w:rPr>
                <w:sz w:val="22"/>
                <w:szCs w:val="22"/>
              </w:rPr>
              <w:t>Marion</w:t>
            </w:r>
          </w:p>
        </w:tc>
      </w:tr>
      <w:tr w:rsidR="00597C13" w14:paraId="0CAB59FD" w14:textId="77777777" w:rsidTr="00597C13">
        <w:tc>
          <w:tcPr>
            <w:tcW w:w="4788" w:type="dxa"/>
          </w:tcPr>
          <w:p w14:paraId="352D40A9" w14:textId="482F79B2" w:rsidR="00597C13" w:rsidRDefault="00597C13" w:rsidP="000449B8">
            <w:pPr>
              <w:rPr>
                <w:sz w:val="22"/>
                <w:szCs w:val="22"/>
              </w:rPr>
            </w:pPr>
            <w:r>
              <w:rPr>
                <w:sz w:val="22"/>
                <w:szCs w:val="22"/>
              </w:rPr>
              <w:t>Clay</w:t>
            </w:r>
          </w:p>
        </w:tc>
        <w:tc>
          <w:tcPr>
            <w:tcW w:w="4788" w:type="dxa"/>
          </w:tcPr>
          <w:p w14:paraId="241675A1" w14:textId="0F753388" w:rsidR="00597C13" w:rsidRDefault="00830C80" w:rsidP="000449B8">
            <w:pPr>
              <w:rPr>
                <w:sz w:val="22"/>
                <w:szCs w:val="22"/>
              </w:rPr>
            </w:pPr>
            <w:r>
              <w:rPr>
                <w:sz w:val="22"/>
                <w:szCs w:val="22"/>
              </w:rPr>
              <w:t>Nassau</w:t>
            </w:r>
          </w:p>
        </w:tc>
      </w:tr>
      <w:tr w:rsidR="00597C13" w14:paraId="54048467" w14:textId="77777777" w:rsidTr="00597C13">
        <w:tc>
          <w:tcPr>
            <w:tcW w:w="4788" w:type="dxa"/>
          </w:tcPr>
          <w:p w14:paraId="6874DA02" w14:textId="605C6D6A" w:rsidR="00597C13" w:rsidRDefault="00597C13" w:rsidP="000449B8">
            <w:pPr>
              <w:rPr>
                <w:sz w:val="22"/>
                <w:szCs w:val="22"/>
              </w:rPr>
            </w:pPr>
            <w:r>
              <w:rPr>
                <w:sz w:val="22"/>
                <w:szCs w:val="22"/>
              </w:rPr>
              <w:t>Columbia</w:t>
            </w:r>
          </w:p>
        </w:tc>
        <w:tc>
          <w:tcPr>
            <w:tcW w:w="4788" w:type="dxa"/>
          </w:tcPr>
          <w:p w14:paraId="65DC6B12" w14:textId="1E46B0B7" w:rsidR="00597C13" w:rsidRDefault="00830C80" w:rsidP="000449B8">
            <w:pPr>
              <w:rPr>
                <w:sz w:val="22"/>
                <w:szCs w:val="22"/>
              </w:rPr>
            </w:pPr>
            <w:r>
              <w:rPr>
                <w:sz w:val="22"/>
                <w:szCs w:val="22"/>
              </w:rPr>
              <w:t>Okaloosa</w:t>
            </w:r>
          </w:p>
        </w:tc>
      </w:tr>
      <w:tr w:rsidR="00597C13" w14:paraId="76ADA44C" w14:textId="77777777" w:rsidTr="00597C13">
        <w:tc>
          <w:tcPr>
            <w:tcW w:w="4788" w:type="dxa"/>
          </w:tcPr>
          <w:p w14:paraId="48AAC038" w14:textId="54DE6DD9" w:rsidR="00597C13" w:rsidRDefault="00597C13" w:rsidP="000449B8">
            <w:pPr>
              <w:rPr>
                <w:sz w:val="22"/>
                <w:szCs w:val="22"/>
              </w:rPr>
            </w:pPr>
            <w:r>
              <w:rPr>
                <w:sz w:val="22"/>
                <w:szCs w:val="22"/>
              </w:rPr>
              <w:t>DeSoto</w:t>
            </w:r>
          </w:p>
        </w:tc>
        <w:tc>
          <w:tcPr>
            <w:tcW w:w="4788" w:type="dxa"/>
          </w:tcPr>
          <w:p w14:paraId="599CFD48" w14:textId="438F68A2" w:rsidR="00597C13" w:rsidRDefault="00830C80" w:rsidP="000449B8">
            <w:pPr>
              <w:rPr>
                <w:sz w:val="22"/>
                <w:szCs w:val="22"/>
              </w:rPr>
            </w:pPr>
            <w:r>
              <w:rPr>
                <w:sz w:val="22"/>
                <w:szCs w:val="22"/>
              </w:rPr>
              <w:t>Orange</w:t>
            </w:r>
          </w:p>
        </w:tc>
      </w:tr>
      <w:tr w:rsidR="00830C80" w14:paraId="29B2C314" w14:textId="77777777" w:rsidTr="00597C13">
        <w:tc>
          <w:tcPr>
            <w:tcW w:w="4788" w:type="dxa"/>
          </w:tcPr>
          <w:p w14:paraId="699D8396" w14:textId="7428FEB6" w:rsidR="00830C80" w:rsidRDefault="00830C80" w:rsidP="000449B8">
            <w:pPr>
              <w:rPr>
                <w:sz w:val="22"/>
                <w:szCs w:val="22"/>
              </w:rPr>
            </w:pPr>
            <w:r>
              <w:rPr>
                <w:sz w:val="22"/>
                <w:szCs w:val="22"/>
              </w:rPr>
              <w:t>Dixie</w:t>
            </w:r>
          </w:p>
        </w:tc>
        <w:tc>
          <w:tcPr>
            <w:tcW w:w="4788" w:type="dxa"/>
          </w:tcPr>
          <w:p w14:paraId="5ACDF166" w14:textId="4038B109" w:rsidR="00830C80" w:rsidRDefault="00830C80" w:rsidP="000449B8">
            <w:pPr>
              <w:rPr>
                <w:sz w:val="22"/>
                <w:szCs w:val="22"/>
              </w:rPr>
            </w:pPr>
            <w:r>
              <w:rPr>
                <w:sz w:val="22"/>
                <w:szCs w:val="22"/>
              </w:rPr>
              <w:t>Osceola</w:t>
            </w:r>
          </w:p>
        </w:tc>
      </w:tr>
      <w:tr w:rsidR="00830C80" w14:paraId="49DDE00F" w14:textId="77777777" w:rsidTr="00597C13">
        <w:tc>
          <w:tcPr>
            <w:tcW w:w="4788" w:type="dxa"/>
          </w:tcPr>
          <w:p w14:paraId="4224C6FB" w14:textId="63C086FF" w:rsidR="00830C80" w:rsidRDefault="00830C80" w:rsidP="000449B8">
            <w:pPr>
              <w:rPr>
                <w:sz w:val="22"/>
                <w:szCs w:val="22"/>
              </w:rPr>
            </w:pPr>
            <w:r>
              <w:rPr>
                <w:sz w:val="22"/>
                <w:szCs w:val="22"/>
              </w:rPr>
              <w:t>Duval</w:t>
            </w:r>
          </w:p>
        </w:tc>
        <w:tc>
          <w:tcPr>
            <w:tcW w:w="4788" w:type="dxa"/>
          </w:tcPr>
          <w:p w14:paraId="17F26A1F" w14:textId="59EC8308" w:rsidR="00830C80" w:rsidRDefault="00830C80" w:rsidP="000449B8">
            <w:pPr>
              <w:rPr>
                <w:sz w:val="22"/>
                <w:szCs w:val="22"/>
              </w:rPr>
            </w:pPr>
            <w:r>
              <w:rPr>
                <w:sz w:val="22"/>
                <w:szCs w:val="22"/>
              </w:rPr>
              <w:t>Pasco</w:t>
            </w:r>
          </w:p>
        </w:tc>
      </w:tr>
      <w:tr w:rsidR="00830C80" w14:paraId="6A34D055" w14:textId="77777777" w:rsidTr="00597C13">
        <w:tc>
          <w:tcPr>
            <w:tcW w:w="4788" w:type="dxa"/>
          </w:tcPr>
          <w:p w14:paraId="2A5767B1" w14:textId="6C07E0A4" w:rsidR="00830C80" w:rsidRDefault="00830C80" w:rsidP="000449B8">
            <w:pPr>
              <w:rPr>
                <w:sz w:val="22"/>
                <w:szCs w:val="22"/>
              </w:rPr>
            </w:pPr>
            <w:r>
              <w:rPr>
                <w:sz w:val="22"/>
                <w:szCs w:val="22"/>
              </w:rPr>
              <w:t>Escambia</w:t>
            </w:r>
          </w:p>
        </w:tc>
        <w:tc>
          <w:tcPr>
            <w:tcW w:w="4788" w:type="dxa"/>
          </w:tcPr>
          <w:p w14:paraId="7631A932" w14:textId="616B9ECC" w:rsidR="00830C80" w:rsidRDefault="00830C80" w:rsidP="000449B8">
            <w:pPr>
              <w:rPr>
                <w:sz w:val="22"/>
                <w:szCs w:val="22"/>
              </w:rPr>
            </w:pPr>
            <w:r>
              <w:rPr>
                <w:sz w:val="22"/>
                <w:szCs w:val="22"/>
              </w:rPr>
              <w:t>Pinellas</w:t>
            </w:r>
          </w:p>
        </w:tc>
      </w:tr>
      <w:tr w:rsidR="00830C80" w14:paraId="2059F02A" w14:textId="77777777" w:rsidTr="00597C13">
        <w:tc>
          <w:tcPr>
            <w:tcW w:w="4788" w:type="dxa"/>
          </w:tcPr>
          <w:p w14:paraId="31DFF2D3" w14:textId="0541E506" w:rsidR="00830C80" w:rsidRDefault="00830C80" w:rsidP="000449B8">
            <w:pPr>
              <w:rPr>
                <w:sz w:val="22"/>
                <w:szCs w:val="22"/>
              </w:rPr>
            </w:pPr>
            <w:r>
              <w:rPr>
                <w:sz w:val="22"/>
                <w:szCs w:val="22"/>
              </w:rPr>
              <w:t>Flagler</w:t>
            </w:r>
          </w:p>
        </w:tc>
        <w:tc>
          <w:tcPr>
            <w:tcW w:w="4788" w:type="dxa"/>
          </w:tcPr>
          <w:p w14:paraId="777360EA" w14:textId="78B7F097" w:rsidR="00830C80" w:rsidRDefault="00830C80" w:rsidP="000449B8">
            <w:pPr>
              <w:rPr>
                <w:sz w:val="22"/>
                <w:szCs w:val="22"/>
              </w:rPr>
            </w:pPr>
            <w:r>
              <w:rPr>
                <w:sz w:val="22"/>
                <w:szCs w:val="22"/>
              </w:rPr>
              <w:t>Polk</w:t>
            </w:r>
          </w:p>
        </w:tc>
      </w:tr>
      <w:tr w:rsidR="00830C80" w14:paraId="17811AAE" w14:textId="77777777" w:rsidTr="00597C13">
        <w:tc>
          <w:tcPr>
            <w:tcW w:w="4788" w:type="dxa"/>
          </w:tcPr>
          <w:p w14:paraId="53FD28B5" w14:textId="4BFBCAF4" w:rsidR="00830C80" w:rsidRDefault="00830C80" w:rsidP="000449B8">
            <w:pPr>
              <w:rPr>
                <w:sz w:val="22"/>
                <w:szCs w:val="22"/>
              </w:rPr>
            </w:pPr>
            <w:r>
              <w:rPr>
                <w:sz w:val="22"/>
                <w:szCs w:val="22"/>
              </w:rPr>
              <w:t>Franklin</w:t>
            </w:r>
          </w:p>
        </w:tc>
        <w:tc>
          <w:tcPr>
            <w:tcW w:w="4788" w:type="dxa"/>
          </w:tcPr>
          <w:p w14:paraId="320F7ED2" w14:textId="4395D40E" w:rsidR="00830C80" w:rsidRDefault="00830C80" w:rsidP="000449B8">
            <w:pPr>
              <w:rPr>
                <w:sz w:val="22"/>
                <w:szCs w:val="22"/>
              </w:rPr>
            </w:pPr>
            <w:r>
              <w:rPr>
                <w:sz w:val="22"/>
                <w:szCs w:val="22"/>
              </w:rPr>
              <w:t>Putnam</w:t>
            </w:r>
          </w:p>
        </w:tc>
      </w:tr>
      <w:tr w:rsidR="00830C80" w14:paraId="529A6A60" w14:textId="77777777" w:rsidTr="00597C13">
        <w:tc>
          <w:tcPr>
            <w:tcW w:w="4788" w:type="dxa"/>
          </w:tcPr>
          <w:p w14:paraId="05E22325" w14:textId="2E63D214" w:rsidR="00830C80" w:rsidRDefault="00830C80" w:rsidP="000449B8">
            <w:pPr>
              <w:rPr>
                <w:sz w:val="22"/>
                <w:szCs w:val="22"/>
              </w:rPr>
            </w:pPr>
            <w:r>
              <w:rPr>
                <w:sz w:val="22"/>
                <w:szCs w:val="22"/>
              </w:rPr>
              <w:t>Gadsden</w:t>
            </w:r>
          </w:p>
        </w:tc>
        <w:tc>
          <w:tcPr>
            <w:tcW w:w="4788" w:type="dxa"/>
          </w:tcPr>
          <w:p w14:paraId="4F6AE32F" w14:textId="65F4F905" w:rsidR="00830C80" w:rsidRDefault="00830C80" w:rsidP="000449B8">
            <w:pPr>
              <w:rPr>
                <w:sz w:val="22"/>
                <w:szCs w:val="22"/>
              </w:rPr>
            </w:pPr>
            <w:r>
              <w:rPr>
                <w:sz w:val="22"/>
                <w:szCs w:val="22"/>
              </w:rPr>
              <w:t>Santa Rosa</w:t>
            </w:r>
          </w:p>
        </w:tc>
      </w:tr>
      <w:tr w:rsidR="00830C80" w14:paraId="29EA3574" w14:textId="77777777" w:rsidTr="00597C13">
        <w:tc>
          <w:tcPr>
            <w:tcW w:w="4788" w:type="dxa"/>
          </w:tcPr>
          <w:p w14:paraId="41664E4E" w14:textId="467F1EC2" w:rsidR="00830C80" w:rsidRDefault="00830C80" w:rsidP="000449B8">
            <w:pPr>
              <w:rPr>
                <w:sz w:val="22"/>
                <w:szCs w:val="22"/>
              </w:rPr>
            </w:pPr>
            <w:r>
              <w:rPr>
                <w:sz w:val="22"/>
                <w:szCs w:val="22"/>
              </w:rPr>
              <w:t>Gilchrist</w:t>
            </w:r>
          </w:p>
        </w:tc>
        <w:tc>
          <w:tcPr>
            <w:tcW w:w="4788" w:type="dxa"/>
          </w:tcPr>
          <w:p w14:paraId="0CD6DD08" w14:textId="02023027" w:rsidR="00830C80" w:rsidRDefault="00830C80" w:rsidP="000449B8">
            <w:pPr>
              <w:rPr>
                <w:sz w:val="22"/>
                <w:szCs w:val="22"/>
              </w:rPr>
            </w:pPr>
            <w:r>
              <w:rPr>
                <w:sz w:val="22"/>
                <w:szCs w:val="22"/>
              </w:rPr>
              <w:t>Sarasota</w:t>
            </w:r>
          </w:p>
        </w:tc>
      </w:tr>
      <w:tr w:rsidR="00830C80" w14:paraId="24ECF628" w14:textId="77777777" w:rsidTr="00597C13">
        <w:tc>
          <w:tcPr>
            <w:tcW w:w="4788" w:type="dxa"/>
          </w:tcPr>
          <w:p w14:paraId="4DB018F0" w14:textId="15CBDBFC" w:rsidR="00830C80" w:rsidRDefault="00830C80" w:rsidP="000449B8">
            <w:pPr>
              <w:rPr>
                <w:sz w:val="22"/>
                <w:szCs w:val="22"/>
              </w:rPr>
            </w:pPr>
            <w:r>
              <w:rPr>
                <w:sz w:val="22"/>
                <w:szCs w:val="22"/>
              </w:rPr>
              <w:t>Gulf</w:t>
            </w:r>
          </w:p>
        </w:tc>
        <w:tc>
          <w:tcPr>
            <w:tcW w:w="4788" w:type="dxa"/>
          </w:tcPr>
          <w:p w14:paraId="77B99097" w14:textId="28FDFAE5" w:rsidR="00830C80" w:rsidRDefault="00830C80" w:rsidP="000449B8">
            <w:pPr>
              <w:rPr>
                <w:sz w:val="22"/>
                <w:szCs w:val="22"/>
              </w:rPr>
            </w:pPr>
            <w:r>
              <w:rPr>
                <w:sz w:val="22"/>
                <w:szCs w:val="22"/>
              </w:rPr>
              <w:t>Seminole</w:t>
            </w:r>
          </w:p>
        </w:tc>
      </w:tr>
      <w:tr w:rsidR="00830C80" w14:paraId="76BAC0E5" w14:textId="77777777" w:rsidTr="00597C13">
        <w:tc>
          <w:tcPr>
            <w:tcW w:w="4788" w:type="dxa"/>
          </w:tcPr>
          <w:p w14:paraId="5D0A6092" w14:textId="48C30E6A" w:rsidR="00830C80" w:rsidRDefault="00830C80" w:rsidP="000449B8">
            <w:pPr>
              <w:rPr>
                <w:sz w:val="22"/>
                <w:szCs w:val="22"/>
              </w:rPr>
            </w:pPr>
            <w:r>
              <w:rPr>
                <w:sz w:val="22"/>
                <w:szCs w:val="22"/>
              </w:rPr>
              <w:t>Hamilton</w:t>
            </w:r>
          </w:p>
        </w:tc>
        <w:tc>
          <w:tcPr>
            <w:tcW w:w="4788" w:type="dxa"/>
          </w:tcPr>
          <w:p w14:paraId="7227AA3C" w14:textId="328EFBE9" w:rsidR="00830C80" w:rsidRDefault="00830C80" w:rsidP="000449B8">
            <w:pPr>
              <w:rPr>
                <w:sz w:val="22"/>
                <w:szCs w:val="22"/>
              </w:rPr>
            </w:pPr>
            <w:r>
              <w:rPr>
                <w:sz w:val="22"/>
                <w:szCs w:val="22"/>
              </w:rPr>
              <w:t>St. Johns</w:t>
            </w:r>
          </w:p>
        </w:tc>
      </w:tr>
      <w:tr w:rsidR="00830C80" w14:paraId="4A3E6958" w14:textId="77777777" w:rsidTr="00597C13">
        <w:tc>
          <w:tcPr>
            <w:tcW w:w="4788" w:type="dxa"/>
          </w:tcPr>
          <w:p w14:paraId="63B007DE" w14:textId="7E0CD75D" w:rsidR="00830C80" w:rsidRDefault="00830C80" w:rsidP="000449B8">
            <w:pPr>
              <w:rPr>
                <w:sz w:val="22"/>
                <w:szCs w:val="22"/>
              </w:rPr>
            </w:pPr>
            <w:r>
              <w:rPr>
                <w:sz w:val="22"/>
                <w:szCs w:val="22"/>
              </w:rPr>
              <w:t>Hardee</w:t>
            </w:r>
          </w:p>
        </w:tc>
        <w:tc>
          <w:tcPr>
            <w:tcW w:w="4788" w:type="dxa"/>
          </w:tcPr>
          <w:p w14:paraId="732AC116" w14:textId="3262E686" w:rsidR="00830C80" w:rsidRDefault="00830C80" w:rsidP="000449B8">
            <w:pPr>
              <w:rPr>
                <w:sz w:val="22"/>
                <w:szCs w:val="22"/>
              </w:rPr>
            </w:pPr>
            <w:r>
              <w:rPr>
                <w:sz w:val="22"/>
                <w:szCs w:val="22"/>
              </w:rPr>
              <w:t>Sumter</w:t>
            </w:r>
          </w:p>
        </w:tc>
      </w:tr>
      <w:tr w:rsidR="00830C80" w14:paraId="37CD6D7A" w14:textId="77777777" w:rsidTr="00597C13">
        <w:tc>
          <w:tcPr>
            <w:tcW w:w="4788" w:type="dxa"/>
          </w:tcPr>
          <w:p w14:paraId="0CA963E0" w14:textId="4DAF0957" w:rsidR="00830C80" w:rsidRDefault="00830C80" w:rsidP="000449B8">
            <w:pPr>
              <w:rPr>
                <w:sz w:val="22"/>
                <w:szCs w:val="22"/>
              </w:rPr>
            </w:pPr>
            <w:r>
              <w:rPr>
                <w:sz w:val="22"/>
                <w:szCs w:val="22"/>
              </w:rPr>
              <w:t>Hernando</w:t>
            </w:r>
          </w:p>
        </w:tc>
        <w:tc>
          <w:tcPr>
            <w:tcW w:w="4788" w:type="dxa"/>
          </w:tcPr>
          <w:p w14:paraId="59694D75" w14:textId="17326418" w:rsidR="00830C80" w:rsidRDefault="00830C80" w:rsidP="000449B8">
            <w:pPr>
              <w:rPr>
                <w:sz w:val="22"/>
                <w:szCs w:val="22"/>
              </w:rPr>
            </w:pPr>
            <w:r>
              <w:rPr>
                <w:sz w:val="22"/>
                <w:szCs w:val="22"/>
              </w:rPr>
              <w:t>Suwannee</w:t>
            </w:r>
          </w:p>
        </w:tc>
      </w:tr>
      <w:tr w:rsidR="00830C80" w14:paraId="3BFCF835" w14:textId="77777777" w:rsidTr="00597C13">
        <w:tc>
          <w:tcPr>
            <w:tcW w:w="4788" w:type="dxa"/>
          </w:tcPr>
          <w:p w14:paraId="0C67BEAA" w14:textId="4F062080" w:rsidR="00830C80" w:rsidRDefault="00830C80" w:rsidP="000449B8">
            <w:pPr>
              <w:rPr>
                <w:sz w:val="22"/>
                <w:szCs w:val="22"/>
              </w:rPr>
            </w:pPr>
            <w:r>
              <w:rPr>
                <w:sz w:val="22"/>
                <w:szCs w:val="22"/>
              </w:rPr>
              <w:t>Highlands</w:t>
            </w:r>
          </w:p>
        </w:tc>
        <w:tc>
          <w:tcPr>
            <w:tcW w:w="4788" w:type="dxa"/>
          </w:tcPr>
          <w:p w14:paraId="030A44C5" w14:textId="0336B627" w:rsidR="00830C80" w:rsidRDefault="00830C80" w:rsidP="000449B8">
            <w:pPr>
              <w:rPr>
                <w:sz w:val="22"/>
                <w:szCs w:val="22"/>
              </w:rPr>
            </w:pPr>
            <w:r>
              <w:rPr>
                <w:sz w:val="22"/>
                <w:szCs w:val="22"/>
              </w:rPr>
              <w:t>Taylor</w:t>
            </w:r>
          </w:p>
        </w:tc>
      </w:tr>
      <w:tr w:rsidR="00830C80" w14:paraId="6E3C9B66" w14:textId="77777777" w:rsidTr="00597C13">
        <w:tc>
          <w:tcPr>
            <w:tcW w:w="4788" w:type="dxa"/>
          </w:tcPr>
          <w:p w14:paraId="72CADD66" w14:textId="3919BCCC" w:rsidR="00830C80" w:rsidRDefault="00830C80" w:rsidP="000449B8">
            <w:pPr>
              <w:rPr>
                <w:sz w:val="22"/>
                <w:szCs w:val="22"/>
              </w:rPr>
            </w:pPr>
            <w:r>
              <w:rPr>
                <w:sz w:val="22"/>
                <w:szCs w:val="22"/>
              </w:rPr>
              <w:t>Hillsborough</w:t>
            </w:r>
          </w:p>
        </w:tc>
        <w:tc>
          <w:tcPr>
            <w:tcW w:w="4788" w:type="dxa"/>
          </w:tcPr>
          <w:p w14:paraId="6B9C8238" w14:textId="64F6A9F1" w:rsidR="00830C80" w:rsidRDefault="00830C80" w:rsidP="000449B8">
            <w:pPr>
              <w:rPr>
                <w:sz w:val="22"/>
                <w:szCs w:val="22"/>
              </w:rPr>
            </w:pPr>
            <w:r>
              <w:rPr>
                <w:sz w:val="22"/>
                <w:szCs w:val="22"/>
              </w:rPr>
              <w:t>Union</w:t>
            </w:r>
          </w:p>
        </w:tc>
      </w:tr>
      <w:tr w:rsidR="00830C80" w14:paraId="7A61D594" w14:textId="77777777" w:rsidTr="00597C13">
        <w:tc>
          <w:tcPr>
            <w:tcW w:w="4788" w:type="dxa"/>
          </w:tcPr>
          <w:p w14:paraId="2622780A" w14:textId="2B6C9FF9" w:rsidR="00830C80" w:rsidRDefault="00830C80" w:rsidP="000449B8">
            <w:pPr>
              <w:rPr>
                <w:sz w:val="22"/>
                <w:szCs w:val="22"/>
              </w:rPr>
            </w:pPr>
            <w:r>
              <w:rPr>
                <w:sz w:val="22"/>
                <w:szCs w:val="22"/>
              </w:rPr>
              <w:t>Holmes</w:t>
            </w:r>
          </w:p>
        </w:tc>
        <w:tc>
          <w:tcPr>
            <w:tcW w:w="4788" w:type="dxa"/>
          </w:tcPr>
          <w:p w14:paraId="1363E556" w14:textId="65E27019" w:rsidR="00830C80" w:rsidRDefault="00830C80" w:rsidP="000449B8">
            <w:pPr>
              <w:rPr>
                <w:sz w:val="22"/>
                <w:szCs w:val="22"/>
              </w:rPr>
            </w:pPr>
            <w:r>
              <w:rPr>
                <w:sz w:val="22"/>
                <w:szCs w:val="22"/>
              </w:rPr>
              <w:t>Volusia</w:t>
            </w:r>
          </w:p>
        </w:tc>
      </w:tr>
      <w:tr w:rsidR="00830C80" w14:paraId="3CEEB794" w14:textId="77777777" w:rsidTr="00597C13">
        <w:tc>
          <w:tcPr>
            <w:tcW w:w="4788" w:type="dxa"/>
          </w:tcPr>
          <w:p w14:paraId="164B7798" w14:textId="0141E056" w:rsidR="00830C80" w:rsidRDefault="00830C80" w:rsidP="000449B8">
            <w:pPr>
              <w:rPr>
                <w:sz w:val="22"/>
                <w:szCs w:val="22"/>
              </w:rPr>
            </w:pPr>
            <w:r>
              <w:rPr>
                <w:sz w:val="22"/>
                <w:szCs w:val="22"/>
              </w:rPr>
              <w:t>Indian River</w:t>
            </w:r>
          </w:p>
        </w:tc>
        <w:tc>
          <w:tcPr>
            <w:tcW w:w="4788" w:type="dxa"/>
          </w:tcPr>
          <w:p w14:paraId="6837BA30" w14:textId="3AF34EFE" w:rsidR="00830C80" w:rsidRDefault="00830C80" w:rsidP="000449B8">
            <w:pPr>
              <w:rPr>
                <w:sz w:val="22"/>
                <w:szCs w:val="22"/>
              </w:rPr>
            </w:pPr>
            <w:r>
              <w:rPr>
                <w:sz w:val="22"/>
                <w:szCs w:val="22"/>
              </w:rPr>
              <w:t>Wakulla</w:t>
            </w:r>
          </w:p>
        </w:tc>
      </w:tr>
      <w:tr w:rsidR="00830C80" w14:paraId="6CDCBD28" w14:textId="77777777" w:rsidTr="00597C13">
        <w:tc>
          <w:tcPr>
            <w:tcW w:w="4788" w:type="dxa"/>
          </w:tcPr>
          <w:p w14:paraId="2D057113" w14:textId="574804A7" w:rsidR="00830C80" w:rsidRDefault="00830C80" w:rsidP="000449B8">
            <w:pPr>
              <w:rPr>
                <w:sz w:val="22"/>
                <w:szCs w:val="22"/>
              </w:rPr>
            </w:pPr>
            <w:r>
              <w:rPr>
                <w:sz w:val="22"/>
                <w:szCs w:val="22"/>
              </w:rPr>
              <w:t>Jackson</w:t>
            </w:r>
          </w:p>
        </w:tc>
        <w:tc>
          <w:tcPr>
            <w:tcW w:w="4788" w:type="dxa"/>
          </w:tcPr>
          <w:p w14:paraId="44CFA43E" w14:textId="232A2CEF" w:rsidR="00830C80" w:rsidRDefault="00830C80" w:rsidP="000449B8">
            <w:pPr>
              <w:rPr>
                <w:sz w:val="22"/>
                <w:szCs w:val="22"/>
              </w:rPr>
            </w:pPr>
            <w:r>
              <w:rPr>
                <w:sz w:val="22"/>
                <w:szCs w:val="22"/>
              </w:rPr>
              <w:t>Walton</w:t>
            </w:r>
          </w:p>
        </w:tc>
      </w:tr>
      <w:tr w:rsidR="00830C80" w14:paraId="0A464A37" w14:textId="77777777" w:rsidTr="00597C13">
        <w:tc>
          <w:tcPr>
            <w:tcW w:w="4788" w:type="dxa"/>
          </w:tcPr>
          <w:p w14:paraId="6B51912E" w14:textId="00E76A77" w:rsidR="00830C80" w:rsidRDefault="00830C80" w:rsidP="000449B8">
            <w:pPr>
              <w:rPr>
                <w:sz w:val="22"/>
                <w:szCs w:val="22"/>
              </w:rPr>
            </w:pPr>
            <w:r>
              <w:rPr>
                <w:sz w:val="22"/>
                <w:szCs w:val="22"/>
              </w:rPr>
              <w:t>Jefferson</w:t>
            </w:r>
          </w:p>
        </w:tc>
        <w:tc>
          <w:tcPr>
            <w:tcW w:w="4788" w:type="dxa"/>
          </w:tcPr>
          <w:p w14:paraId="333B700C" w14:textId="240A8B51" w:rsidR="00830C80" w:rsidRDefault="00830C80" w:rsidP="000449B8">
            <w:pPr>
              <w:rPr>
                <w:sz w:val="22"/>
                <w:szCs w:val="22"/>
              </w:rPr>
            </w:pPr>
            <w:r>
              <w:rPr>
                <w:sz w:val="22"/>
                <w:szCs w:val="22"/>
              </w:rPr>
              <w:t>Washington</w:t>
            </w:r>
          </w:p>
        </w:tc>
      </w:tr>
    </w:tbl>
    <w:p w14:paraId="7A227954" w14:textId="7D01B3E0" w:rsidR="00830C80" w:rsidRDefault="00830C80" w:rsidP="000449B8">
      <w:pPr>
        <w:rPr>
          <w:sz w:val="22"/>
          <w:szCs w:val="22"/>
        </w:rPr>
      </w:pPr>
    </w:p>
    <w:p w14:paraId="455E937B" w14:textId="77777777" w:rsidR="00830C80" w:rsidRDefault="00830C80">
      <w:pPr>
        <w:rPr>
          <w:sz w:val="22"/>
          <w:szCs w:val="22"/>
        </w:rPr>
      </w:pPr>
      <w:r>
        <w:rPr>
          <w:sz w:val="22"/>
          <w:szCs w:val="22"/>
        </w:rPr>
        <w:br w:type="page"/>
      </w:r>
    </w:p>
    <w:p w14:paraId="7EE6F2E8" w14:textId="44B32EEE" w:rsidR="00597C13" w:rsidRPr="00830C80" w:rsidRDefault="00830C80" w:rsidP="00830C80">
      <w:pPr>
        <w:jc w:val="center"/>
        <w:rPr>
          <w:b/>
          <w:sz w:val="22"/>
          <w:szCs w:val="22"/>
        </w:rPr>
      </w:pPr>
      <w:r w:rsidRPr="00830C80">
        <w:rPr>
          <w:b/>
          <w:sz w:val="22"/>
          <w:szCs w:val="22"/>
        </w:rPr>
        <w:t>Attachment B – List of Florida Counties Excluded from Waiver Request</w:t>
      </w:r>
    </w:p>
    <w:p w14:paraId="19CF671B" w14:textId="77777777" w:rsidR="00830C80" w:rsidRDefault="00830C80" w:rsidP="000449B8">
      <w:pPr>
        <w:rPr>
          <w:sz w:val="22"/>
          <w:szCs w:val="22"/>
        </w:rPr>
      </w:pPr>
    </w:p>
    <w:tbl>
      <w:tblPr>
        <w:tblStyle w:val="TableGrid"/>
        <w:tblW w:w="0" w:type="auto"/>
        <w:tblLook w:val="04A0" w:firstRow="1" w:lastRow="0" w:firstColumn="1" w:lastColumn="0" w:noHBand="0" w:noVBand="1"/>
      </w:tblPr>
      <w:tblGrid>
        <w:gridCol w:w="4068"/>
      </w:tblGrid>
      <w:tr w:rsidR="00830C80" w14:paraId="29DC2478" w14:textId="77777777" w:rsidTr="00830C80">
        <w:tc>
          <w:tcPr>
            <w:tcW w:w="4068" w:type="dxa"/>
          </w:tcPr>
          <w:p w14:paraId="2CAAA72D" w14:textId="74485E99" w:rsidR="00830C80" w:rsidRDefault="00830C80" w:rsidP="000449B8">
            <w:pPr>
              <w:rPr>
                <w:sz w:val="22"/>
                <w:szCs w:val="22"/>
              </w:rPr>
            </w:pPr>
            <w:r>
              <w:rPr>
                <w:sz w:val="22"/>
                <w:szCs w:val="22"/>
              </w:rPr>
              <w:t>Broward</w:t>
            </w:r>
          </w:p>
        </w:tc>
      </w:tr>
      <w:tr w:rsidR="00830C80" w14:paraId="1B36B3CB" w14:textId="77777777" w:rsidTr="00830C80">
        <w:tc>
          <w:tcPr>
            <w:tcW w:w="4068" w:type="dxa"/>
          </w:tcPr>
          <w:p w14:paraId="5B886926" w14:textId="176217E9" w:rsidR="00830C80" w:rsidRDefault="00830C80" w:rsidP="000449B8">
            <w:pPr>
              <w:rPr>
                <w:sz w:val="22"/>
                <w:szCs w:val="22"/>
              </w:rPr>
            </w:pPr>
            <w:r>
              <w:rPr>
                <w:sz w:val="22"/>
                <w:szCs w:val="22"/>
              </w:rPr>
              <w:t>Collier</w:t>
            </w:r>
          </w:p>
        </w:tc>
      </w:tr>
      <w:tr w:rsidR="00830C80" w14:paraId="76C3BF56" w14:textId="77777777" w:rsidTr="00830C80">
        <w:tc>
          <w:tcPr>
            <w:tcW w:w="4068" w:type="dxa"/>
          </w:tcPr>
          <w:p w14:paraId="2FD76ED5" w14:textId="293BF0BB" w:rsidR="00830C80" w:rsidRDefault="00830C80" w:rsidP="000449B8">
            <w:pPr>
              <w:rPr>
                <w:sz w:val="22"/>
                <w:szCs w:val="22"/>
              </w:rPr>
            </w:pPr>
            <w:r>
              <w:rPr>
                <w:sz w:val="22"/>
                <w:szCs w:val="22"/>
              </w:rPr>
              <w:t>Glades</w:t>
            </w:r>
          </w:p>
        </w:tc>
      </w:tr>
      <w:tr w:rsidR="00830C80" w14:paraId="36D3BEB8" w14:textId="77777777" w:rsidTr="00830C80">
        <w:tc>
          <w:tcPr>
            <w:tcW w:w="4068" w:type="dxa"/>
          </w:tcPr>
          <w:p w14:paraId="0EA3A3E8" w14:textId="7B8EFA6A" w:rsidR="00830C80" w:rsidRDefault="00830C80" w:rsidP="000449B8">
            <w:pPr>
              <w:rPr>
                <w:sz w:val="22"/>
                <w:szCs w:val="22"/>
              </w:rPr>
            </w:pPr>
            <w:r>
              <w:rPr>
                <w:sz w:val="22"/>
                <w:szCs w:val="22"/>
              </w:rPr>
              <w:t>Hendry</w:t>
            </w:r>
          </w:p>
        </w:tc>
      </w:tr>
      <w:tr w:rsidR="00830C80" w14:paraId="456A2664" w14:textId="77777777" w:rsidTr="00830C80">
        <w:tc>
          <w:tcPr>
            <w:tcW w:w="4068" w:type="dxa"/>
          </w:tcPr>
          <w:p w14:paraId="7D6FCF21" w14:textId="3729B576" w:rsidR="00830C80" w:rsidRDefault="00830C80" w:rsidP="000449B8">
            <w:pPr>
              <w:rPr>
                <w:sz w:val="22"/>
                <w:szCs w:val="22"/>
              </w:rPr>
            </w:pPr>
            <w:r>
              <w:rPr>
                <w:sz w:val="22"/>
                <w:szCs w:val="22"/>
              </w:rPr>
              <w:t>Lee</w:t>
            </w:r>
          </w:p>
        </w:tc>
      </w:tr>
      <w:tr w:rsidR="00830C80" w14:paraId="4C996B78" w14:textId="77777777" w:rsidTr="00830C80">
        <w:tc>
          <w:tcPr>
            <w:tcW w:w="4068" w:type="dxa"/>
          </w:tcPr>
          <w:p w14:paraId="144F987B" w14:textId="56233A92" w:rsidR="00830C80" w:rsidRDefault="00830C80" w:rsidP="000449B8">
            <w:pPr>
              <w:rPr>
                <w:sz w:val="22"/>
                <w:szCs w:val="22"/>
              </w:rPr>
            </w:pPr>
            <w:r>
              <w:rPr>
                <w:sz w:val="22"/>
                <w:szCs w:val="22"/>
              </w:rPr>
              <w:t>Martin</w:t>
            </w:r>
          </w:p>
        </w:tc>
      </w:tr>
      <w:tr w:rsidR="00830C80" w14:paraId="44ED28CF" w14:textId="77777777" w:rsidTr="00830C80">
        <w:tc>
          <w:tcPr>
            <w:tcW w:w="4068" w:type="dxa"/>
          </w:tcPr>
          <w:p w14:paraId="34BCAAB1" w14:textId="208AD08D" w:rsidR="00830C80" w:rsidRDefault="00830C80" w:rsidP="000449B8">
            <w:pPr>
              <w:rPr>
                <w:sz w:val="22"/>
                <w:szCs w:val="22"/>
              </w:rPr>
            </w:pPr>
            <w:r>
              <w:rPr>
                <w:sz w:val="22"/>
                <w:szCs w:val="22"/>
              </w:rPr>
              <w:t>Miami-Dade</w:t>
            </w:r>
          </w:p>
        </w:tc>
      </w:tr>
      <w:tr w:rsidR="00830C80" w14:paraId="098FBF6A" w14:textId="77777777" w:rsidTr="00830C80">
        <w:tc>
          <w:tcPr>
            <w:tcW w:w="4068" w:type="dxa"/>
          </w:tcPr>
          <w:p w14:paraId="5943653D" w14:textId="086F7F14" w:rsidR="00830C80" w:rsidRDefault="00830C80" w:rsidP="000449B8">
            <w:pPr>
              <w:rPr>
                <w:sz w:val="22"/>
                <w:szCs w:val="22"/>
              </w:rPr>
            </w:pPr>
            <w:r>
              <w:rPr>
                <w:sz w:val="22"/>
                <w:szCs w:val="22"/>
              </w:rPr>
              <w:t>Monroe</w:t>
            </w:r>
          </w:p>
        </w:tc>
      </w:tr>
      <w:tr w:rsidR="00830C80" w14:paraId="531489EE" w14:textId="77777777" w:rsidTr="00830C80">
        <w:tc>
          <w:tcPr>
            <w:tcW w:w="4068" w:type="dxa"/>
          </w:tcPr>
          <w:p w14:paraId="6AAEE859" w14:textId="386ACB2D" w:rsidR="00830C80" w:rsidRDefault="00830C80" w:rsidP="000449B8">
            <w:pPr>
              <w:rPr>
                <w:sz w:val="22"/>
                <w:szCs w:val="22"/>
              </w:rPr>
            </w:pPr>
            <w:r>
              <w:rPr>
                <w:sz w:val="22"/>
                <w:szCs w:val="22"/>
              </w:rPr>
              <w:t>Okeechobee</w:t>
            </w:r>
          </w:p>
        </w:tc>
      </w:tr>
      <w:tr w:rsidR="00830C80" w14:paraId="49A36B82" w14:textId="77777777" w:rsidTr="00830C80">
        <w:tc>
          <w:tcPr>
            <w:tcW w:w="4068" w:type="dxa"/>
          </w:tcPr>
          <w:p w14:paraId="55FC4301" w14:textId="74015DED" w:rsidR="00830C80" w:rsidRDefault="00830C80" w:rsidP="000449B8">
            <w:pPr>
              <w:rPr>
                <w:sz w:val="22"/>
                <w:szCs w:val="22"/>
              </w:rPr>
            </w:pPr>
            <w:r>
              <w:rPr>
                <w:sz w:val="22"/>
                <w:szCs w:val="22"/>
              </w:rPr>
              <w:t>Palm Beach</w:t>
            </w:r>
          </w:p>
        </w:tc>
      </w:tr>
      <w:tr w:rsidR="00830C80" w14:paraId="0ECB8113" w14:textId="77777777" w:rsidTr="00830C80">
        <w:tc>
          <w:tcPr>
            <w:tcW w:w="4068" w:type="dxa"/>
          </w:tcPr>
          <w:p w14:paraId="1D603485" w14:textId="737D5278" w:rsidR="00830C80" w:rsidRDefault="00830C80" w:rsidP="000449B8">
            <w:pPr>
              <w:rPr>
                <w:sz w:val="22"/>
                <w:szCs w:val="22"/>
              </w:rPr>
            </w:pPr>
            <w:r>
              <w:rPr>
                <w:sz w:val="22"/>
                <w:szCs w:val="22"/>
              </w:rPr>
              <w:t>St. Lucie</w:t>
            </w:r>
          </w:p>
        </w:tc>
      </w:tr>
    </w:tbl>
    <w:p w14:paraId="291C3C2D" w14:textId="77777777" w:rsidR="00830C80" w:rsidRPr="00293A30" w:rsidRDefault="00830C80" w:rsidP="000449B8">
      <w:pPr>
        <w:rPr>
          <w:sz w:val="22"/>
          <w:szCs w:val="22"/>
        </w:rPr>
      </w:pPr>
    </w:p>
    <w:sectPr w:rsidR="00830C80" w:rsidRPr="00293A30" w:rsidSect="0076115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8E0A1" w14:textId="77777777" w:rsidR="00605CEE" w:rsidRDefault="00605CEE">
      <w:r>
        <w:separator/>
      </w:r>
    </w:p>
  </w:endnote>
  <w:endnote w:type="continuationSeparator" w:id="0">
    <w:p w14:paraId="5DF7AE8C" w14:textId="77777777" w:rsidR="00605CEE" w:rsidRDefault="0060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E9CEC" w14:textId="77777777" w:rsidR="003937C5" w:rsidRDefault="003937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72E15" w14:textId="7EA5187C" w:rsidR="003A1760" w:rsidRDefault="003A1760">
    <w:pPr>
      <w:pStyle w:val="Footer"/>
      <w:jc w:val="center"/>
    </w:pPr>
  </w:p>
  <w:p w14:paraId="532891E3" w14:textId="77777777" w:rsidR="003A1760" w:rsidRDefault="003A17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B1C1F" w14:textId="77777777" w:rsidR="003937C5" w:rsidRDefault="00393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F1FFD" w14:textId="77777777" w:rsidR="00605CEE" w:rsidRDefault="00605CEE">
      <w:r>
        <w:separator/>
      </w:r>
    </w:p>
  </w:footnote>
  <w:footnote w:type="continuationSeparator" w:id="0">
    <w:p w14:paraId="4A72EEEB" w14:textId="77777777" w:rsidR="00605CEE" w:rsidRDefault="00605CEE">
      <w:r>
        <w:continuationSeparator/>
      </w:r>
    </w:p>
  </w:footnote>
  <w:footnote w:id="1">
    <w:p w14:paraId="7A5A477D" w14:textId="33D3D0C6" w:rsidR="003A1760" w:rsidRPr="00737138" w:rsidRDefault="003A1760" w:rsidP="00F6775A">
      <w:pPr>
        <w:pStyle w:val="FootnoteText"/>
        <w:spacing w:after="120"/>
      </w:pPr>
      <w:r>
        <w:rPr>
          <w:rStyle w:val="FootnoteReference"/>
        </w:rPr>
        <w:footnoteRef/>
      </w:r>
      <w:r>
        <w:t xml:space="preserve"> </w:t>
      </w:r>
      <w:r>
        <w:rPr>
          <w:i/>
        </w:rPr>
        <w:t>See</w:t>
      </w:r>
      <w:r>
        <w:t xml:space="preserve"> FCC File Nos. 0006020514, 0006020472, 0006020725, 0006020738, 0006020746, 0006020758, 0006020761, 0006020440, 0006020484, 0006020456 (collectively “Waiver Request”).</w:t>
      </w:r>
    </w:p>
  </w:footnote>
  <w:footnote w:id="2">
    <w:p w14:paraId="759CD0D1" w14:textId="218EF794" w:rsidR="003A1760" w:rsidRDefault="003A1760" w:rsidP="00F6775A">
      <w:pPr>
        <w:pStyle w:val="FootnoteText"/>
        <w:spacing w:after="120"/>
      </w:pPr>
      <w:r>
        <w:rPr>
          <w:rStyle w:val="FootnoteReference"/>
        </w:rPr>
        <w:footnoteRef/>
      </w:r>
      <w:r>
        <w:t xml:space="preserve"> Waiver Request at 1.</w:t>
      </w:r>
    </w:p>
  </w:footnote>
  <w:footnote w:id="3">
    <w:p w14:paraId="57437456" w14:textId="548CA5BA" w:rsidR="003A1760" w:rsidRDefault="003A1760" w:rsidP="00F6775A">
      <w:pPr>
        <w:pStyle w:val="FootnoteText"/>
        <w:spacing w:after="120"/>
      </w:pPr>
      <w:r>
        <w:rPr>
          <w:rStyle w:val="FootnoteReference"/>
        </w:rPr>
        <w:footnoteRef/>
      </w:r>
      <w:r>
        <w:t xml:space="preserve"> </w:t>
      </w:r>
      <w:r>
        <w:rPr>
          <w:i/>
        </w:rPr>
        <w:t>Id.</w:t>
      </w:r>
      <w:r>
        <w:t xml:space="preserve"> at 2.</w:t>
      </w:r>
    </w:p>
  </w:footnote>
  <w:footnote w:id="4">
    <w:p w14:paraId="40E7A83D" w14:textId="57400F1C" w:rsidR="003A1760" w:rsidRDefault="003A1760" w:rsidP="00F6775A">
      <w:pPr>
        <w:pStyle w:val="FootnoteText"/>
        <w:spacing w:after="120"/>
      </w:pPr>
      <w:r>
        <w:rPr>
          <w:rStyle w:val="FootnoteReference"/>
        </w:rPr>
        <w:footnoteRef/>
      </w:r>
      <w:r>
        <w:t xml:space="preserve"> </w:t>
      </w:r>
      <w:r>
        <w:rPr>
          <w:i/>
        </w:rPr>
        <w:t>Id.</w:t>
      </w:r>
      <w:r>
        <w:t xml:space="preserve"> at 2.</w:t>
      </w:r>
    </w:p>
  </w:footnote>
  <w:footnote w:id="5">
    <w:p w14:paraId="747C923C" w14:textId="5216935C" w:rsidR="003A1760" w:rsidRDefault="003A1760" w:rsidP="00F6775A">
      <w:pPr>
        <w:pStyle w:val="FootnoteText"/>
        <w:spacing w:after="120"/>
      </w:pPr>
      <w:r>
        <w:rPr>
          <w:rStyle w:val="FootnoteReference"/>
        </w:rPr>
        <w:footnoteRef/>
      </w:r>
      <w:r>
        <w:t xml:space="preserve"> </w:t>
      </w:r>
      <w:r>
        <w:rPr>
          <w:i/>
        </w:rPr>
        <w:t>Id.</w:t>
      </w:r>
      <w:r>
        <w:t xml:space="preserve"> at 2-3.</w:t>
      </w:r>
    </w:p>
  </w:footnote>
  <w:footnote w:id="6">
    <w:p w14:paraId="74756F88" w14:textId="77777777" w:rsidR="003A1760" w:rsidRDefault="003A1760" w:rsidP="00F6775A">
      <w:pPr>
        <w:pStyle w:val="FootnoteText"/>
        <w:spacing w:after="120"/>
      </w:pPr>
      <w:r>
        <w:rPr>
          <w:rStyle w:val="FootnoteReference"/>
        </w:rPr>
        <w:footnoteRef/>
      </w:r>
      <w:r>
        <w:t xml:space="preserve"> </w:t>
      </w:r>
      <w:r>
        <w:rPr>
          <w:i/>
          <w:sz w:val="22"/>
          <w:szCs w:val="22"/>
        </w:rPr>
        <w:t>See</w:t>
      </w:r>
      <w:r>
        <w:rPr>
          <w:sz w:val="22"/>
          <w:szCs w:val="22"/>
        </w:rPr>
        <w:t xml:space="preserve"> Attachment A.</w:t>
      </w:r>
    </w:p>
  </w:footnote>
  <w:footnote w:id="7">
    <w:p w14:paraId="5844AE9D" w14:textId="3FC6B91A" w:rsidR="003A1760" w:rsidRDefault="003A1760" w:rsidP="00F6775A">
      <w:pPr>
        <w:pStyle w:val="FootnoteText"/>
        <w:spacing w:after="120"/>
      </w:pPr>
      <w:r>
        <w:rPr>
          <w:rStyle w:val="FootnoteReference"/>
        </w:rPr>
        <w:footnoteRef/>
      </w:r>
      <w:r>
        <w:t xml:space="preserve"> </w:t>
      </w:r>
      <w:r w:rsidRPr="00F6775A">
        <w:t>Waiver Request at 3.</w:t>
      </w:r>
      <w:r>
        <w:t xml:space="preserve">  Section 90.621(b) permits 800 MHz co-channel usage at sites as close as 55 miles depending on the technical parameters of the proposed facilities.  47 C.F.R. </w:t>
      </w:r>
      <w:r w:rsidRPr="00F6775A">
        <w:t>§</w:t>
      </w:r>
      <w:r>
        <w:t xml:space="preserve"> </w:t>
      </w:r>
      <w:r w:rsidRPr="00F6775A">
        <w:t>90.621(b)</w:t>
      </w:r>
      <w:r>
        <w:t>.</w:t>
      </w:r>
    </w:p>
  </w:footnote>
  <w:footnote w:id="8">
    <w:p w14:paraId="3486CEE2" w14:textId="0299C6E9" w:rsidR="003A1760" w:rsidRDefault="003A1760" w:rsidP="00F6775A">
      <w:pPr>
        <w:pStyle w:val="FootnoteText"/>
        <w:spacing w:after="120"/>
      </w:pPr>
      <w:r>
        <w:rPr>
          <w:rStyle w:val="FootnoteReference"/>
        </w:rPr>
        <w:footnoteRef/>
      </w:r>
      <w:r>
        <w:t xml:space="preserve"> Waiver Request at 3.</w:t>
      </w:r>
    </w:p>
  </w:footnote>
  <w:footnote w:id="9">
    <w:p w14:paraId="6EAE1E96" w14:textId="08C9A726" w:rsidR="003A1760" w:rsidRDefault="003A1760" w:rsidP="00F6775A">
      <w:pPr>
        <w:pStyle w:val="FootnoteText"/>
        <w:spacing w:after="120"/>
      </w:pPr>
      <w:r>
        <w:rPr>
          <w:rStyle w:val="FootnoteReference"/>
        </w:rPr>
        <w:footnoteRef/>
      </w:r>
      <w:r>
        <w:t xml:space="preserve"> </w:t>
      </w:r>
      <w:r>
        <w:rPr>
          <w:i/>
        </w:rPr>
        <w:t>See id.</w:t>
      </w:r>
      <w:r>
        <w:t xml:space="preserve"> at 3 n.6; </w:t>
      </w:r>
      <w:r>
        <w:rPr>
          <w:i/>
        </w:rPr>
        <w:t>see also</w:t>
      </w:r>
      <w:r>
        <w:t xml:space="preserve"> Improving Spectrum Efficiency Through Flexible Channel Spacing and Bandwidth Utilization for Economic Area-based 800 MHz Specialized Mobile Radio Licenses; </w:t>
      </w:r>
      <w:r w:rsidRPr="00846EC4">
        <w:t>Request for Declara</w:t>
      </w:r>
      <w:r>
        <w:t>tory Ruling that the Commission’</w:t>
      </w:r>
      <w:r w:rsidRPr="00846EC4">
        <w:t>s Rules Authorize Greater than 25 kHz Bandwidth Operations in the 817-824/862-869 MHz Band</w:t>
      </w:r>
      <w:r>
        <w:t xml:space="preserve">, </w:t>
      </w:r>
      <w:r>
        <w:rPr>
          <w:i/>
        </w:rPr>
        <w:t xml:space="preserve">Report and </w:t>
      </w:r>
      <w:r w:rsidRPr="00846EC4">
        <w:t>Order</w:t>
      </w:r>
      <w:r>
        <w:t xml:space="preserve">, </w:t>
      </w:r>
      <w:r w:rsidRPr="00846EC4">
        <w:t>27</w:t>
      </w:r>
      <w:r>
        <w:t xml:space="preserve"> FCC Rcd 6489, ¶ 14 (2012).</w:t>
      </w:r>
    </w:p>
  </w:footnote>
  <w:footnote w:id="10">
    <w:p w14:paraId="0BCAE72D" w14:textId="12CD3490" w:rsidR="003A1760" w:rsidRDefault="003A1760" w:rsidP="00F6775A">
      <w:pPr>
        <w:pStyle w:val="FootnoteText"/>
        <w:spacing w:after="120"/>
      </w:pPr>
      <w:r>
        <w:rPr>
          <w:rStyle w:val="FootnoteReference"/>
        </w:rPr>
        <w:footnoteRef/>
      </w:r>
      <w:r>
        <w:t xml:space="preserve"> </w:t>
      </w:r>
      <w:r w:rsidRPr="00F6775A">
        <w:t>Waiver Request at 3.</w:t>
      </w:r>
    </w:p>
  </w:footnote>
  <w:footnote w:id="11">
    <w:p w14:paraId="0B7D7EA6" w14:textId="359406ED" w:rsidR="003A1760" w:rsidRDefault="003A1760" w:rsidP="00F6775A">
      <w:pPr>
        <w:pStyle w:val="FootnoteText"/>
        <w:spacing w:after="120"/>
      </w:pPr>
      <w:r>
        <w:rPr>
          <w:rStyle w:val="FootnoteReference"/>
        </w:rPr>
        <w:footnoteRef/>
      </w:r>
      <w:r>
        <w:t xml:space="preserve"> Correspondence from Charles Hadley, Communications Engineer, Florida Department of Management Services, to James Goldstein, Senior Counsel, Sprint Corporation, dated Sept. 30, 2013; Correspondence from Felix Perez, Division Director, Miami-Dade County, to </w:t>
      </w:r>
      <w:r w:rsidRPr="00CD7010">
        <w:t xml:space="preserve">James Goldstein, Senior Counsel, Sprint Corporation, dated </w:t>
      </w:r>
      <w:r>
        <w:t>Aug</w:t>
      </w:r>
      <w:r w:rsidRPr="00CD7010">
        <w:t>. 30, 2013</w:t>
      </w:r>
      <w:r>
        <w:t>.</w:t>
      </w:r>
    </w:p>
  </w:footnote>
  <w:footnote w:id="12">
    <w:p w14:paraId="159D8A10" w14:textId="50CD48BB" w:rsidR="003A1760" w:rsidRDefault="003A1760" w:rsidP="00F6775A">
      <w:pPr>
        <w:pStyle w:val="FootnoteText"/>
        <w:spacing w:after="120"/>
      </w:pPr>
      <w:r>
        <w:rPr>
          <w:rStyle w:val="FootnoteReference"/>
        </w:rPr>
        <w:footnoteRef/>
      </w:r>
      <w:r>
        <w:rPr>
          <w:rStyle w:val="FootnoteReference"/>
        </w:rPr>
        <w:footnoteRef/>
      </w:r>
      <w:r>
        <w:t xml:space="preserve"> 47 C.F.R. </w:t>
      </w:r>
      <w:r w:rsidRPr="00B65BF1">
        <w:t>§</w:t>
      </w:r>
      <w:r>
        <w:t xml:space="preserve"> 1.925.</w:t>
      </w:r>
    </w:p>
  </w:footnote>
  <w:footnote w:id="13">
    <w:p w14:paraId="5D2081AF" w14:textId="23E56D08" w:rsidR="003A1760" w:rsidRDefault="003A1760">
      <w:pPr>
        <w:pStyle w:val="FootnoteText"/>
      </w:pPr>
      <w:r>
        <w:rPr>
          <w:rStyle w:val="FootnoteReference"/>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260AF" w14:textId="77777777" w:rsidR="003937C5" w:rsidRDefault="003937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F5550" w14:textId="18CB3B27" w:rsidR="003A1760" w:rsidRDefault="003A1760">
    <w:pPr>
      <w:pStyle w:val="Header"/>
      <w:rPr>
        <w:sz w:val="22"/>
        <w:szCs w:val="22"/>
        <w:lang w:val="en-US"/>
      </w:rPr>
    </w:pPr>
    <w:r>
      <w:rPr>
        <w:sz w:val="22"/>
        <w:szCs w:val="22"/>
      </w:rPr>
      <w:t>James B. Goldstein</w:t>
    </w:r>
  </w:p>
  <w:p w14:paraId="47A90AFA" w14:textId="6C6EE6A9" w:rsidR="003A1760" w:rsidRPr="003B7197" w:rsidRDefault="003A1760">
    <w:pPr>
      <w:pStyle w:val="Header"/>
      <w:rPr>
        <w:lang w:val="en-US"/>
      </w:rPr>
    </w:pPr>
    <w:r>
      <w:rPr>
        <w:sz w:val="22"/>
        <w:szCs w:val="22"/>
        <w:lang w:val="en-US"/>
      </w:rPr>
      <w:t xml:space="preserve">Page </w:t>
    </w:r>
    <w:r w:rsidRPr="00EC517E">
      <w:rPr>
        <w:sz w:val="22"/>
        <w:szCs w:val="22"/>
        <w:lang w:val="en-US"/>
      </w:rPr>
      <w:fldChar w:fldCharType="begin"/>
    </w:r>
    <w:r w:rsidRPr="00EC517E">
      <w:rPr>
        <w:sz w:val="22"/>
        <w:szCs w:val="22"/>
        <w:lang w:val="en-US"/>
      </w:rPr>
      <w:instrText xml:space="preserve"> PAGE   \* MERGEFORMAT </w:instrText>
    </w:r>
    <w:r w:rsidRPr="00EC517E">
      <w:rPr>
        <w:sz w:val="22"/>
        <w:szCs w:val="22"/>
        <w:lang w:val="en-US"/>
      </w:rPr>
      <w:fldChar w:fldCharType="separate"/>
    </w:r>
    <w:r w:rsidR="00160D57">
      <w:rPr>
        <w:noProof/>
        <w:sz w:val="22"/>
        <w:szCs w:val="22"/>
        <w:lang w:val="en-US"/>
      </w:rPr>
      <w:t>2</w:t>
    </w:r>
    <w:r w:rsidRPr="00EC517E">
      <w:rPr>
        <w:noProof/>
        <w:sz w:val="22"/>
        <w:szCs w:val="22"/>
        <w:lang w:val="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52830" w14:textId="77777777" w:rsidR="003A1760" w:rsidRDefault="00160D57">
    <w:pPr>
      <w:pStyle w:val="Header"/>
      <w:tabs>
        <w:tab w:val="clear" w:pos="4320"/>
        <w:tab w:val="clear" w:pos="8640"/>
      </w:tabs>
      <w:spacing w:before="360" w:line="228" w:lineRule="auto"/>
      <w:jc w:val="center"/>
    </w:pPr>
    <w:r>
      <w:rPr>
        <w:rFonts w:ascii="CG Times (W1)" w:hAnsi="CG Times (W1)"/>
        <w:sz w:val="28"/>
      </w:rPr>
      <w:pict w14:anchorId="3BEFD2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446902267" r:id="rId2"/>
      </w:pict>
    </w:r>
    <w:r w:rsidR="003A1760">
      <w:rPr>
        <w:rFonts w:ascii="CG Times (W1)" w:hAnsi="CG Times (W1)"/>
        <w:sz w:val="28"/>
      </w:rPr>
      <w:t>Federal Communications Commission</w:t>
    </w:r>
  </w:p>
  <w:p w14:paraId="04F38A37" w14:textId="77777777" w:rsidR="003A1760" w:rsidRDefault="003A1760">
    <w:pPr>
      <w:jc w:val="center"/>
    </w:pPr>
    <w:r>
      <w:rPr>
        <w:rFonts w:ascii="CG Times (W1)" w:hAnsi="CG Times (W1)"/>
        <w:sz w:val="28"/>
      </w:rPr>
      <w:t>Washington, D.C. 20554</w:t>
    </w:r>
  </w:p>
  <w:p w14:paraId="0E0A0C1E" w14:textId="77777777" w:rsidR="003A1760" w:rsidRDefault="003A1760">
    <w:pPr>
      <w:pStyle w:val="Header"/>
      <w:tabs>
        <w:tab w:val="clear" w:pos="4320"/>
      </w:tabs>
      <w:jc w:val="center"/>
      <w:rPr>
        <w:sz w:val="22"/>
        <w:lang w:val="en-US"/>
      </w:rPr>
    </w:pPr>
  </w:p>
  <w:p w14:paraId="68C493FE" w14:textId="586E5CBA" w:rsidR="009A7AA3" w:rsidRPr="009A7AA3" w:rsidRDefault="009A7AA3">
    <w:pPr>
      <w:pStyle w:val="Header"/>
      <w:tabs>
        <w:tab w:val="clear" w:pos="4320"/>
      </w:tabs>
      <w:jc w:val="center"/>
      <w:rPr>
        <w:sz w:val="22"/>
        <w:lang w:val="en-US"/>
      </w:rPr>
    </w:pPr>
    <w:r>
      <w:rPr>
        <w:sz w:val="22"/>
        <w:lang w:val="en-US"/>
      </w:rPr>
      <w:t>November 25,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33E8C"/>
    <w:multiLevelType w:val="hybridMultilevel"/>
    <w:tmpl w:val="279614F4"/>
    <w:lvl w:ilvl="0" w:tplc="F990A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4A6012A"/>
    <w:multiLevelType w:val="hybridMultilevel"/>
    <w:tmpl w:val="A2F65B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A74"/>
    <w:rsid w:val="00004075"/>
    <w:rsid w:val="000107F8"/>
    <w:rsid w:val="00020BD9"/>
    <w:rsid w:val="000449B8"/>
    <w:rsid w:val="00065230"/>
    <w:rsid w:val="00070421"/>
    <w:rsid w:val="00080295"/>
    <w:rsid w:val="00095105"/>
    <w:rsid w:val="00095EAF"/>
    <w:rsid w:val="0009666C"/>
    <w:rsid w:val="000A10A8"/>
    <w:rsid w:val="000A2649"/>
    <w:rsid w:val="000B79D1"/>
    <w:rsid w:val="000F2A64"/>
    <w:rsid w:val="00101332"/>
    <w:rsid w:val="00115E3F"/>
    <w:rsid w:val="00117B32"/>
    <w:rsid w:val="001220DA"/>
    <w:rsid w:val="00142964"/>
    <w:rsid w:val="001606C3"/>
    <w:rsid w:val="00160D57"/>
    <w:rsid w:val="00160E98"/>
    <w:rsid w:val="001960E9"/>
    <w:rsid w:val="001B45F9"/>
    <w:rsid w:val="001C67AA"/>
    <w:rsid w:val="001D4E63"/>
    <w:rsid w:val="001E0B03"/>
    <w:rsid w:val="001E1D02"/>
    <w:rsid w:val="001E2981"/>
    <w:rsid w:val="00204AAC"/>
    <w:rsid w:val="002470D1"/>
    <w:rsid w:val="00254E34"/>
    <w:rsid w:val="00266BA1"/>
    <w:rsid w:val="002707DC"/>
    <w:rsid w:val="002835D4"/>
    <w:rsid w:val="002842E7"/>
    <w:rsid w:val="00293A30"/>
    <w:rsid w:val="002A2BC9"/>
    <w:rsid w:val="002A5E07"/>
    <w:rsid w:val="002B3785"/>
    <w:rsid w:val="002C6CD7"/>
    <w:rsid w:val="002F09D5"/>
    <w:rsid w:val="0031422D"/>
    <w:rsid w:val="0034177F"/>
    <w:rsid w:val="0035115C"/>
    <w:rsid w:val="003678AB"/>
    <w:rsid w:val="00370576"/>
    <w:rsid w:val="003717DF"/>
    <w:rsid w:val="003739FD"/>
    <w:rsid w:val="003740D6"/>
    <w:rsid w:val="00377F50"/>
    <w:rsid w:val="003937C5"/>
    <w:rsid w:val="003A1760"/>
    <w:rsid w:val="003A47E2"/>
    <w:rsid w:val="003A50B5"/>
    <w:rsid w:val="003B2548"/>
    <w:rsid w:val="003B7197"/>
    <w:rsid w:val="003F2837"/>
    <w:rsid w:val="00444367"/>
    <w:rsid w:val="0045357E"/>
    <w:rsid w:val="00476CB0"/>
    <w:rsid w:val="0048317C"/>
    <w:rsid w:val="004A654A"/>
    <w:rsid w:val="004B6DA4"/>
    <w:rsid w:val="004C0458"/>
    <w:rsid w:val="004D31DF"/>
    <w:rsid w:val="004E0F0D"/>
    <w:rsid w:val="004E2554"/>
    <w:rsid w:val="004E4AF6"/>
    <w:rsid w:val="004E64EF"/>
    <w:rsid w:val="005059EE"/>
    <w:rsid w:val="0051664E"/>
    <w:rsid w:val="0053208E"/>
    <w:rsid w:val="00543A97"/>
    <w:rsid w:val="005443A5"/>
    <w:rsid w:val="0056344E"/>
    <w:rsid w:val="00576287"/>
    <w:rsid w:val="00576799"/>
    <w:rsid w:val="00597C13"/>
    <w:rsid w:val="005A179C"/>
    <w:rsid w:val="005A2073"/>
    <w:rsid w:val="005B3AAF"/>
    <w:rsid w:val="005C6C20"/>
    <w:rsid w:val="005C7A11"/>
    <w:rsid w:val="005F3F0E"/>
    <w:rsid w:val="006053C1"/>
    <w:rsid w:val="00605CEE"/>
    <w:rsid w:val="0061505D"/>
    <w:rsid w:val="00624320"/>
    <w:rsid w:val="00634444"/>
    <w:rsid w:val="00663E92"/>
    <w:rsid w:val="00667898"/>
    <w:rsid w:val="00670121"/>
    <w:rsid w:val="00671584"/>
    <w:rsid w:val="00672E53"/>
    <w:rsid w:val="006A1D09"/>
    <w:rsid w:val="006A6957"/>
    <w:rsid w:val="006C3767"/>
    <w:rsid w:val="006F0B9D"/>
    <w:rsid w:val="006F59C4"/>
    <w:rsid w:val="00711129"/>
    <w:rsid w:val="007171EE"/>
    <w:rsid w:val="00720F49"/>
    <w:rsid w:val="00722B43"/>
    <w:rsid w:val="00722CF9"/>
    <w:rsid w:val="00727930"/>
    <w:rsid w:val="00737138"/>
    <w:rsid w:val="007412A9"/>
    <w:rsid w:val="00747978"/>
    <w:rsid w:val="0076115F"/>
    <w:rsid w:val="00771903"/>
    <w:rsid w:val="00776C30"/>
    <w:rsid w:val="00793ABA"/>
    <w:rsid w:val="007C27D2"/>
    <w:rsid w:val="007D1032"/>
    <w:rsid w:val="007E363F"/>
    <w:rsid w:val="007E4444"/>
    <w:rsid w:val="0081104C"/>
    <w:rsid w:val="00830C80"/>
    <w:rsid w:val="00846506"/>
    <w:rsid w:val="00846EC4"/>
    <w:rsid w:val="008A2F27"/>
    <w:rsid w:val="008A3E7C"/>
    <w:rsid w:val="008B31A9"/>
    <w:rsid w:val="008B5685"/>
    <w:rsid w:val="008B6EA7"/>
    <w:rsid w:val="008C6345"/>
    <w:rsid w:val="008E4477"/>
    <w:rsid w:val="008F0663"/>
    <w:rsid w:val="0090450D"/>
    <w:rsid w:val="009050F2"/>
    <w:rsid w:val="009511F2"/>
    <w:rsid w:val="009546D4"/>
    <w:rsid w:val="00964126"/>
    <w:rsid w:val="009761F8"/>
    <w:rsid w:val="00986C9D"/>
    <w:rsid w:val="00991145"/>
    <w:rsid w:val="009A1085"/>
    <w:rsid w:val="009A7AA3"/>
    <w:rsid w:val="009D4BC0"/>
    <w:rsid w:val="009E4D7E"/>
    <w:rsid w:val="009F02D2"/>
    <w:rsid w:val="00A01973"/>
    <w:rsid w:val="00A06A48"/>
    <w:rsid w:val="00A14412"/>
    <w:rsid w:val="00A25EF0"/>
    <w:rsid w:val="00A41101"/>
    <w:rsid w:val="00A64E7A"/>
    <w:rsid w:val="00A7357F"/>
    <w:rsid w:val="00A74285"/>
    <w:rsid w:val="00A81C64"/>
    <w:rsid w:val="00A91DED"/>
    <w:rsid w:val="00AB7BCC"/>
    <w:rsid w:val="00AE57A7"/>
    <w:rsid w:val="00B13504"/>
    <w:rsid w:val="00B2155B"/>
    <w:rsid w:val="00B44774"/>
    <w:rsid w:val="00B52A13"/>
    <w:rsid w:val="00B64A74"/>
    <w:rsid w:val="00B65BF1"/>
    <w:rsid w:val="00B677E7"/>
    <w:rsid w:val="00B81AC6"/>
    <w:rsid w:val="00B97DEC"/>
    <w:rsid w:val="00BA2A53"/>
    <w:rsid w:val="00BB64B7"/>
    <w:rsid w:val="00BB7CD3"/>
    <w:rsid w:val="00BC47EA"/>
    <w:rsid w:val="00BC65A9"/>
    <w:rsid w:val="00BD7826"/>
    <w:rsid w:val="00BD7861"/>
    <w:rsid w:val="00C01ED8"/>
    <w:rsid w:val="00C453BE"/>
    <w:rsid w:val="00C67D4A"/>
    <w:rsid w:val="00C75023"/>
    <w:rsid w:val="00C96A46"/>
    <w:rsid w:val="00CD7010"/>
    <w:rsid w:val="00CF05D1"/>
    <w:rsid w:val="00CF745C"/>
    <w:rsid w:val="00D04DF9"/>
    <w:rsid w:val="00D166DB"/>
    <w:rsid w:val="00D17198"/>
    <w:rsid w:val="00D50044"/>
    <w:rsid w:val="00D56825"/>
    <w:rsid w:val="00D56CF3"/>
    <w:rsid w:val="00D62C01"/>
    <w:rsid w:val="00D6423F"/>
    <w:rsid w:val="00D731F8"/>
    <w:rsid w:val="00D842A7"/>
    <w:rsid w:val="00D94F0C"/>
    <w:rsid w:val="00D97E2B"/>
    <w:rsid w:val="00DB730E"/>
    <w:rsid w:val="00DF5ACF"/>
    <w:rsid w:val="00E03795"/>
    <w:rsid w:val="00E477CB"/>
    <w:rsid w:val="00E73EEA"/>
    <w:rsid w:val="00E94C70"/>
    <w:rsid w:val="00E95A3A"/>
    <w:rsid w:val="00EC0540"/>
    <w:rsid w:val="00EC4203"/>
    <w:rsid w:val="00EC517E"/>
    <w:rsid w:val="00ED45CD"/>
    <w:rsid w:val="00ED648D"/>
    <w:rsid w:val="00F03D55"/>
    <w:rsid w:val="00F069A6"/>
    <w:rsid w:val="00F13E73"/>
    <w:rsid w:val="00F1517D"/>
    <w:rsid w:val="00F35035"/>
    <w:rsid w:val="00F35899"/>
    <w:rsid w:val="00F52062"/>
    <w:rsid w:val="00F53319"/>
    <w:rsid w:val="00F6775A"/>
    <w:rsid w:val="00F73577"/>
    <w:rsid w:val="00F822FE"/>
    <w:rsid w:val="00F82FF1"/>
    <w:rsid w:val="00FA0D79"/>
    <w:rsid w:val="00FA3A52"/>
    <w:rsid w:val="00FC7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43DA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04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link w:val="FootnoteTextChar"/>
    <w:semiHidden/>
    <w:rsid w:val="004C0458"/>
    <w:rPr>
      <w:sz w:val="20"/>
      <w:szCs w:val="20"/>
    </w:rPr>
  </w:style>
  <w:style w:type="character" w:styleId="FootnoteReference">
    <w:name w:val="footnote reference"/>
    <w:semiHidden/>
    <w:rsid w:val="004C0458"/>
    <w:rPr>
      <w:vertAlign w:val="superscript"/>
    </w:rPr>
  </w:style>
  <w:style w:type="character" w:styleId="Hyperlink">
    <w:name w:val="Hyperlink"/>
    <w:rsid w:val="000449B8"/>
    <w:rPr>
      <w:color w:val="0000FF"/>
      <w:u w:val="single"/>
    </w:rPr>
  </w:style>
  <w:style w:type="character" w:customStyle="1" w:styleId="HeaderChar">
    <w:name w:val="Header Char"/>
    <w:link w:val="Header"/>
    <w:uiPriority w:val="99"/>
    <w:rsid w:val="00C453BE"/>
    <w:rPr>
      <w:sz w:val="24"/>
      <w:szCs w:val="24"/>
    </w:rPr>
  </w:style>
  <w:style w:type="character" w:styleId="FollowedHyperlink">
    <w:name w:val="FollowedHyperlink"/>
    <w:rsid w:val="003678AB"/>
    <w:rPr>
      <w:color w:val="800080"/>
      <w:u w:val="single"/>
    </w:rPr>
  </w:style>
  <w:style w:type="character" w:customStyle="1" w:styleId="FootnoteTextChar">
    <w:name w:val="Footnote Text Char"/>
    <w:link w:val="FootnoteText"/>
    <w:semiHidden/>
    <w:rsid w:val="007E4444"/>
  </w:style>
  <w:style w:type="paragraph" w:styleId="BalloonText">
    <w:name w:val="Balloon Text"/>
    <w:basedOn w:val="Normal"/>
    <w:link w:val="BalloonTextChar"/>
    <w:rsid w:val="00095EAF"/>
    <w:rPr>
      <w:rFonts w:ascii="Tahoma" w:hAnsi="Tahoma" w:cs="Tahoma"/>
      <w:sz w:val="16"/>
      <w:szCs w:val="16"/>
    </w:rPr>
  </w:style>
  <w:style w:type="character" w:customStyle="1" w:styleId="BalloonTextChar">
    <w:name w:val="Balloon Text Char"/>
    <w:link w:val="BalloonText"/>
    <w:rsid w:val="00095EAF"/>
    <w:rPr>
      <w:rFonts w:ascii="Tahoma" w:hAnsi="Tahoma" w:cs="Tahoma"/>
      <w:sz w:val="16"/>
      <w:szCs w:val="16"/>
    </w:rPr>
  </w:style>
  <w:style w:type="character" w:customStyle="1" w:styleId="FooterChar">
    <w:name w:val="Footer Char"/>
    <w:basedOn w:val="DefaultParagraphFont"/>
    <w:link w:val="Footer"/>
    <w:uiPriority w:val="99"/>
    <w:rsid w:val="002B3785"/>
    <w:rPr>
      <w:sz w:val="24"/>
      <w:szCs w:val="24"/>
    </w:rPr>
  </w:style>
  <w:style w:type="table" w:styleId="TableGrid">
    <w:name w:val="Table Grid"/>
    <w:basedOn w:val="TableNormal"/>
    <w:rsid w:val="00597C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BA2A53"/>
    <w:rPr>
      <w:sz w:val="16"/>
      <w:szCs w:val="16"/>
    </w:rPr>
  </w:style>
  <w:style w:type="paragraph" w:styleId="CommentText">
    <w:name w:val="annotation text"/>
    <w:basedOn w:val="Normal"/>
    <w:link w:val="CommentTextChar"/>
    <w:rsid w:val="00BA2A53"/>
    <w:rPr>
      <w:sz w:val="20"/>
      <w:szCs w:val="20"/>
    </w:rPr>
  </w:style>
  <w:style w:type="character" w:customStyle="1" w:styleId="CommentTextChar">
    <w:name w:val="Comment Text Char"/>
    <w:basedOn w:val="DefaultParagraphFont"/>
    <w:link w:val="CommentText"/>
    <w:rsid w:val="00BA2A53"/>
  </w:style>
  <w:style w:type="paragraph" w:styleId="CommentSubject">
    <w:name w:val="annotation subject"/>
    <w:basedOn w:val="CommentText"/>
    <w:next w:val="CommentText"/>
    <w:link w:val="CommentSubjectChar"/>
    <w:rsid w:val="00BA2A53"/>
    <w:rPr>
      <w:b/>
      <w:bCs/>
    </w:rPr>
  </w:style>
  <w:style w:type="character" w:customStyle="1" w:styleId="CommentSubjectChar">
    <w:name w:val="Comment Subject Char"/>
    <w:basedOn w:val="CommentTextChar"/>
    <w:link w:val="CommentSubject"/>
    <w:rsid w:val="00BA2A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04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link w:val="FootnoteTextChar"/>
    <w:semiHidden/>
    <w:rsid w:val="004C0458"/>
    <w:rPr>
      <w:sz w:val="20"/>
      <w:szCs w:val="20"/>
    </w:rPr>
  </w:style>
  <w:style w:type="character" w:styleId="FootnoteReference">
    <w:name w:val="footnote reference"/>
    <w:semiHidden/>
    <w:rsid w:val="004C0458"/>
    <w:rPr>
      <w:vertAlign w:val="superscript"/>
    </w:rPr>
  </w:style>
  <w:style w:type="character" w:styleId="Hyperlink">
    <w:name w:val="Hyperlink"/>
    <w:rsid w:val="000449B8"/>
    <w:rPr>
      <w:color w:val="0000FF"/>
      <w:u w:val="single"/>
    </w:rPr>
  </w:style>
  <w:style w:type="character" w:customStyle="1" w:styleId="HeaderChar">
    <w:name w:val="Header Char"/>
    <w:link w:val="Header"/>
    <w:uiPriority w:val="99"/>
    <w:rsid w:val="00C453BE"/>
    <w:rPr>
      <w:sz w:val="24"/>
      <w:szCs w:val="24"/>
    </w:rPr>
  </w:style>
  <w:style w:type="character" w:styleId="FollowedHyperlink">
    <w:name w:val="FollowedHyperlink"/>
    <w:rsid w:val="003678AB"/>
    <w:rPr>
      <w:color w:val="800080"/>
      <w:u w:val="single"/>
    </w:rPr>
  </w:style>
  <w:style w:type="character" w:customStyle="1" w:styleId="FootnoteTextChar">
    <w:name w:val="Footnote Text Char"/>
    <w:link w:val="FootnoteText"/>
    <w:semiHidden/>
    <w:rsid w:val="007E4444"/>
  </w:style>
  <w:style w:type="paragraph" w:styleId="BalloonText">
    <w:name w:val="Balloon Text"/>
    <w:basedOn w:val="Normal"/>
    <w:link w:val="BalloonTextChar"/>
    <w:rsid w:val="00095EAF"/>
    <w:rPr>
      <w:rFonts w:ascii="Tahoma" w:hAnsi="Tahoma" w:cs="Tahoma"/>
      <w:sz w:val="16"/>
      <w:szCs w:val="16"/>
    </w:rPr>
  </w:style>
  <w:style w:type="character" w:customStyle="1" w:styleId="BalloonTextChar">
    <w:name w:val="Balloon Text Char"/>
    <w:link w:val="BalloonText"/>
    <w:rsid w:val="00095EAF"/>
    <w:rPr>
      <w:rFonts w:ascii="Tahoma" w:hAnsi="Tahoma" w:cs="Tahoma"/>
      <w:sz w:val="16"/>
      <w:szCs w:val="16"/>
    </w:rPr>
  </w:style>
  <w:style w:type="character" w:customStyle="1" w:styleId="FooterChar">
    <w:name w:val="Footer Char"/>
    <w:basedOn w:val="DefaultParagraphFont"/>
    <w:link w:val="Footer"/>
    <w:uiPriority w:val="99"/>
    <w:rsid w:val="002B3785"/>
    <w:rPr>
      <w:sz w:val="24"/>
      <w:szCs w:val="24"/>
    </w:rPr>
  </w:style>
  <w:style w:type="table" w:styleId="TableGrid">
    <w:name w:val="Table Grid"/>
    <w:basedOn w:val="TableNormal"/>
    <w:rsid w:val="00597C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BA2A53"/>
    <w:rPr>
      <w:sz w:val="16"/>
      <w:szCs w:val="16"/>
    </w:rPr>
  </w:style>
  <w:style w:type="paragraph" w:styleId="CommentText">
    <w:name w:val="annotation text"/>
    <w:basedOn w:val="Normal"/>
    <w:link w:val="CommentTextChar"/>
    <w:rsid w:val="00BA2A53"/>
    <w:rPr>
      <w:sz w:val="20"/>
      <w:szCs w:val="20"/>
    </w:rPr>
  </w:style>
  <w:style w:type="character" w:customStyle="1" w:styleId="CommentTextChar">
    <w:name w:val="Comment Text Char"/>
    <w:basedOn w:val="DefaultParagraphFont"/>
    <w:link w:val="CommentText"/>
    <w:rsid w:val="00BA2A53"/>
  </w:style>
  <w:style w:type="paragraph" w:styleId="CommentSubject">
    <w:name w:val="annotation subject"/>
    <w:basedOn w:val="CommentText"/>
    <w:next w:val="CommentText"/>
    <w:link w:val="CommentSubjectChar"/>
    <w:rsid w:val="00BA2A53"/>
    <w:rPr>
      <w:b/>
      <w:bCs/>
    </w:rPr>
  </w:style>
  <w:style w:type="character" w:customStyle="1" w:styleId="CommentSubjectChar">
    <w:name w:val="Comment Subject Char"/>
    <w:basedOn w:val="CommentTextChar"/>
    <w:link w:val="CommentSubject"/>
    <w:rsid w:val="00BA2A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9038">
      <w:bodyDiv w:val="1"/>
      <w:marLeft w:val="0"/>
      <w:marRight w:val="0"/>
      <w:marTop w:val="0"/>
      <w:marBottom w:val="0"/>
      <w:divBdr>
        <w:top w:val="none" w:sz="0" w:space="0" w:color="auto"/>
        <w:left w:val="none" w:sz="0" w:space="0" w:color="auto"/>
        <w:bottom w:val="none" w:sz="0" w:space="0" w:color="auto"/>
        <w:right w:val="none" w:sz="0" w:space="0" w:color="auto"/>
      </w:divBdr>
    </w:div>
    <w:div w:id="211085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3</Pages>
  <Words>1053</Words>
  <Characters>5974</Characters>
  <Application>Microsoft Office Word</Application>
  <DocSecurity>0</DocSecurity>
  <Lines>175</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6966</CharactersWithSpaces>
  <SharedDoc>false</SharedDoc>
  <HyperlinkBase> </HyperlinkBase>
  <HLinks>
    <vt:vector size="6" baseType="variant">
      <vt:variant>
        <vt:i4>196630</vt:i4>
      </vt:variant>
      <vt:variant>
        <vt:i4>0</vt:i4>
      </vt:variant>
      <vt:variant>
        <vt:i4>0</vt:i4>
      </vt:variant>
      <vt:variant>
        <vt:i4>5</vt:i4>
      </vt:variant>
      <vt:variant>
        <vt:lpwstr>http://lyntegar.coop/who-we-are/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2013-11-25T21:19:00Z</cp:lastPrinted>
  <dcterms:created xsi:type="dcterms:W3CDTF">2013-11-25T21:31:00Z</dcterms:created>
  <dcterms:modified xsi:type="dcterms:W3CDTF">2013-11-25T21:31:00Z</dcterms:modified>
  <cp:category> </cp:category>
  <cp:contentStatus> </cp:contentStatus>
</cp:coreProperties>
</file>