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D5E" w:rsidRDefault="00BD7D5E" w:rsidP="00BD7D5E">
      <w:pPr>
        <w:pStyle w:val="NoSpacing"/>
        <w:rPr>
          <w:rFonts w:ascii="Times New Roman" w:hAnsi="Times New Roman"/>
        </w:rPr>
      </w:pPr>
      <w:bookmarkStart w:id="0" w:name="_GoBack"/>
      <w:bookmarkEnd w:id="0"/>
    </w:p>
    <w:p w:rsidR="00BD7D5E" w:rsidRPr="00E9002D" w:rsidRDefault="00BD7D5E" w:rsidP="00BD7D5E">
      <w:pPr>
        <w:ind w:left="5040" w:firstLine="720"/>
      </w:pPr>
      <w:r>
        <w:rPr>
          <w:sz w:val="22"/>
          <w:szCs w:val="22"/>
        </w:rPr>
        <w:tab/>
      </w:r>
      <w:r w:rsidRPr="00E9002D">
        <w:t xml:space="preserve">DA </w:t>
      </w:r>
      <w:r w:rsidR="00AC1C9C" w:rsidRPr="00AC1C9C">
        <w:t>13-2193</w:t>
      </w:r>
    </w:p>
    <w:p w:rsidR="00BD7D5E" w:rsidRPr="00E9002D" w:rsidRDefault="00BD7D5E" w:rsidP="00BD7D5E">
      <w:pPr>
        <w:ind w:left="5760" w:firstLine="720"/>
        <w:rPr>
          <w:i/>
        </w:rPr>
      </w:pPr>
      <w:r w:rsidRPr="00E9002D">
        <w:rPr>
          <w:i/>
        </w:rPr>
        <w:t>In Reply Refer to:</w:t>
      </w:r>
    </w:p>
    <w:p w:rsidR="00BD7D5E" w:rsidRPr="00E9002D" w:rsidRDefault="00BD7D5E" w:rsidP="00BD7D5E">
      <w:r w:rsidRPr="00E9002D">
        <w:tab/>
      </w:r>
      <w:r w:rsidRPr="00E9002D">
        <w:tab/>
      </w:r>
      <w:r w:rsidRPr="00E9002D">
        <w:tab/>
      </w:r>
      <w:r w:rsidRPr="00E9002D">
        <w:tab/>
      </w:r>
      <w:r w:rsidRPr="00E9002D">
        <w:tab/>
      </w:r>
      <w:r w:rsidRPr="00E9002D">
        <w:tab/>
      </w:r>
      <w:r w:rsidRPr="00E9002D">
        <w:tab/>
      </w:r>
      <w:r w:rsidRPr="00E9002D">
        <w:tab/>
      </w:r>
      <w:r w:rsidRPr="00E9002D">
        <w:tab/>
        <w:t>1800B3-PCC</w:t>
      </w:r>
    </w:p>
    <w:p w:rsidR="00BD7D5E" w:rsidRPr="00E9002D" w:rsidRDefault="00BD7D5E" w:rsidP="00BD7D5E">
      <w:r w:rsidRPr="00E9002D">
        <w:tab/>
      </w:r>
      <w:r w:rsidRPr="00E9002D">
        <w:tab/>
      </w:r>
      <w:r w:rsidRPr="00E9002D">
        <w:tab/>
      </w:r>
      <w:r w:rsidRPr="00E9002D">
        <w:tab/>
      </w:r>
      <w:r w:rsidRPr="00E9002D">
        <w:tab/>
      </w:r>
      <w:r w:rsidRPr="00E9002D">
        <w:tab/>
      </w:r>
      <w:r w:rsidRPr="00E9002D">
        <w:tab/>
      </w:r>
      <w:r w:rsidRPr="00E9002D">
        <w:tab/>
      </w:r>
      <w:r w:rsidRPr="00E9002D">
        <w:tab/>
        <w:t xml:space="preserve">Released: </w:t>
      </w:r>
      <w:r w:rsidR="00BE0777" w:rsidRPr="00E9002D">
        <w:t xml:space="preserve">November </w:t>
      </w:r>
      <w:r w:rsidR="00E633EC">
        <w:t>15</w:t>
      </w:r>
      <w:r w:rsidRPr="00E9002D">
        <w:t>, 2013</w:t>
      </w:r>
    </w:p>
    <w:p w:rsidR="00BD7D5E" w:rsidRDefault="0043405C" w:rsidP="00BD7D5E">
      <w:pPr>
        <w:tabs>
          <w:tab w:val="left" w:pos="0"/>
        </w:tabs>
        <w:suppressAutoHyphens/>
        <w:ind w:left="5040" w:hanging="5040"/>
        <w:rPr>
          <w:sz w:val="22"/>
          <w:szCs w:val="22"/>
        </w:rPr>
      </w:pPr>
      <w:r>
        <w:rPr>
          <w:sz w:val="22"/>
          <w:szCs w:val="22"/>
        </w:rPr>
        <w:t xml:space="preserve">Mr. </w:t>
      </w:r>
      <w:r w:rsidR="00BD7D5E">
        <w:rPr>
          <w:sz w:val="22"/>
          <w:szCs w:val="22"/>
        </w:rPr>
        <w:t>Grady Moates</w:t>
      </w:r>
    </w:p>
    <w:p w:rsidR="00BD7D5E" w:rsidRDefault="00BD7D5E" w:rsidP="00BD7D5E">
      <w:pPr>
        <w:tabs>
          <w:tab w:val="left" w:pos="0"/>
        </w:tabs>
        <w:suppressAutoHyphens/>
        <w:ind w:left="5040" w:hanging="5040"/>
        <w:rPr>
          <w:sz w:val="22"/>
          <w:szCs w:val="22"/>
        </w:rPr>
      </w:pPr>
      <w:r>
        <w:rPr>
          <w:sz w:val="22"/>
          <w:szCs w:val="22"/>
        </w:rPr>
        <w:t>24402 Lanier Street,</w:t>
      </w:r>
    </w:p>
    <w:p w:rsidR="00BD7D5E" w:rsidRDefault="00BD7D5E" w:rsidP="00BD7D5E">
      <w:pPr>
        <w:tabs>
          <w:tab w:val="left" w:pos="0"/>
        </w:tabs>
        <w:suppressAutoHyphens/>
        <w:ind w:left="5040" w:hanging="5040"/>
        <w:rPr>
          <w:sz w:val="22"/>
          <w:szCs w:val="22"/>
        </w:rPr>
      </w:pPr>
      <w:r>
        <w:rPr>
          <w:sz w:val="22"/>
          <w:szCs w:val="22"/>
        </w:rPr>
        <w:t>Tallahassee, F</w:t>
      </w:r>
      <w:r w:rsidR="0043405C">
        <w:rPr>
          <w:sz w:val="22"/>
          <w:szCs w:val="22"/>
        </w:rPr>
        <w:t>L</w:t>
      </w:r>
      <w:r>
        <w:rPr>
          <w:sz w:val="22"/>
          <w:szCs w:val="22"/>
        </w:rPr>
        <w:t xml:space="preserve"> 32310</w:t>
      </w:r>
    </w:p>
    <w:p w:rsidR="00BD7D5E" w:rsidRDefault="00BD7D5E" w:rsidP="00BD7D5E">
      <w:pPr>
        <w:tabs>
          <w:tab w:val="left" w:pos="4320"/>
        </w:tabs>
        <w:suppressAutoHyphens/>
        <w:ind w:left="5040" w:hanging="5760"/>
        <w:rPr>
          <w:b/>
          <w:sz w:val="22"/>
          <w:szCs w:val="22"/>
        </w:rPr>
      </w:pPr>
      <w:r>
        <w:rPr>
          <w:sz w:val="22"/>
          <w:szCs w:val="22"/>
        </w:rPr>
        <w:t xml:space="preserve"> </w:t>
      </w:r>
      <w:r>
        <w:rPr>
          <w:sz w:val="22"/>
          <w:szCs w:val="22"/>
        </w:rPr>
        <w:tab/>
        <w:t xml:space="preserve">In re:  </w:t>
      </w:r>
      <w:r>
        <w:rPr>
          <w:sz w:val="22"/>
          <w:szCs w:val="22"/>
        </w:rPr>
        <w:tab/>
      </w:r>
      <w:r>
        <w:rPr>
          <w:b/>
          <w:sz w:val="22"/>
          <w:szCs w:val="22"/>
        </w:rPr>
        <w:t xml:space="preserve">FM Translator </w:t>
      </w:r>
      <w:r w:rsidR="0043405C">
        <w:rPr>
          <w:b/>
          <w:sz w:val="22"/>
          <w:szCs w:val="22"/>
        </w:rPr>
        <w:t xml:space="preserve">Construction Permit </w:t>
      </w:r>
      <w:r w:rsidR="00D60DC7">
        <w:rPr>
          <w:b/>
          <w:sz w:val="22"/>
          <w:szCs w:val="22"/>
        </w:rPr>
        <w:t>D</w:t>
      </w:r>
      <w:r>
        <w:rPr>
          <w:b/>
          <w:sz w:val="22"/>
          <w:szCs w:val="22"/>
        </w:rPr>
        <w:t>W286BA, Bloxham, Florida</w:t>
      </w:r>
    </w:p>
    <w:p w:rsidR="00BD7D5E" w:rsidRDefault="00BD7D5E" w:rsidP="00BD7D5E">
      <w:pPr>
        <w:tabs>
          <w:tab w:val="left" w:pos="0"/>
        </w:tabs>
        <w:suppressAutoHyphens/>
        <w:ind w:left="5040" w:hanging="5040"/>
        <w:rPr>
          <w:sz w:val="22"/>
          <w:szCs w:val="22"/>
        </w:rPr>
      </w:pPr>
      <w:r>
        <w:rPr>
          <w:sz w:val="22"/>
          <w:szCs w:val="22"/>
        </w:rPr>
        <w:tab/>
        <w:t>File No. BNPFT-20030828BDV</w:t>
      </w:r>
    </w:p>
    <w:p w:rsidR="00BD7D5E" w:rsidRDefault="00BD7D5E" w:rsidP="00BD7D5E">
      <w:pPr>
        <w:tabs>
          <w:tab w:val="left" w:pos="0"/>
        </w:tabs>
        <w:suppressAutoHyphens/>
        <w:ind w:left="5040" w:hanging="5040"/>
        <w:rPr>
          <w:sz w:val="22"/>
          <w:szCs w:val="22"/>
        </w:rPr>
      </w:pPr>
      <w:r>
        <w:rPr>
          <w:sz w:val="22"/>
          <w:szCs w:val="22"/>
        </w:rPr>
        <w:tab/>
        <w:t>Facility ID No. 151661</w:t>
      </w:r>
    </w:p>
    <w:p w:rsidR="00BD7D5E" w:rsidRDefault="00BD7D5E" w:rsidP="00BD7D5E">
      <w:pPr>
        <w:ind w:left="4320" w:firstLine="720"/>
        <w:rPr>
          <w:b/>
          <w:sz w:val="22"/>
          <w:szCs w:val="22"/>
        </w:rPr>
      </w:pPr>
    </w:p>
    <w:p w:rsidR="00BD7D5E" w:rsidRDefault="00BD7D5E" w:rsidP="00BD7D5E">
      <w:pPr>
        <w:ind w:left="5040"/>
        <w:rPr>
          <w:b/>
          <w:sz w:val="22"/>
          <w:szCs w:val="22"/>
        </w:rPr>
      </w:pPr>
      <w:r>
        <w:rPr>
          <w:b/>
          <w:sz w:val="22"/>
          <w:szCs w:val="22"/>
        </w:rPr>
        <w:t>Petition for Reconsideration</w:t>
      </w:r>
      <w:r>
        <w:rPr>
          <w:b/>
          <w:sz w:val="22"/>
          <w:szCs w:val="22"/>
        </w:rPr>
        <w:tab/>
      </w:r>
      <w:r>
        <w:rPr>
          <w:b/>
          <w:sz w:val="22"/>
          <w:szCs w:val="22"/>
        </w:rPr>
        <w:tab/>
      </w:r>
    </w:p>
    <w:p w:rsidR="00BD7D5E" w:rsidRPr="0017748A" w:rsidRDefault="00BD7D5E" w:rsidP="00BD7D5E">
      <w:pPr>
        <w:pStyle w:val="NoSpacing"/>
        <w:rPr>
          <w:rFonts w:ascii="Times New Roman" w:hAnsi="Times New Roman"/>
        </w:rPr>
      </w:pPr>
      <w:r>
        <w:rPr>
          <w:rFonts w:ascii="Times New Roman" w:hAnsi="Times New Roman"/>
        </w:rPr>
        <w:t>Dear Mr. Moates</w:t>
      </w:r>
      <w:r w:rsidRPr="0017748A">
        <w:rPr>
          <w:rFonts w:ascii="Times New Roman" w:hAnsi="Times New Roman"/>
        </w:rPr>
        <w:t>:</w:t>
      </w:r>
    </w:p>
    <w:p w:rsidR="00BD7D5E" w:rsidRDefault="00BD7D5E" w:rsidP="00BD7D5E">
      <w:pPr>
        <w:pStyle w:val="NoSpacing"/>
        <w:rPr>
          <w:rFonts w:ascii="Times New Roman" w:hAnsi="Times New Roman"/>
        </w:rPr>
      </w:pPr>
    </w:p>
    <w:p w:rsidR="00BD7D5E" w:rsidRDefault="00BD7D5E" w:rsidP="00BD7D5E">
      <w:pPr>
        <w:pStyle w:val="NoSpacing"/>
        <w:ind w:firstLine="720"/>
        <w:rPr>
          <w:rFonts w:ascii="Times New Roman" w:hAnsi="Times New Roman"/>
        </w:rPr>
      </w:pPr>
      <w:r w:rsidRPr="0017748A">
        <w:rPr>
          <w:rFonts w:ascii="Times New Roman" w:hAnsi="Times New Roman"/>
        </w:rPr>
        <w:t>The Media B</w:t>
      </w:r>
      <w:r>
        <w:rPr>
          <w:rFonts w:ascii="Times New Roman" w:hAnsi="Times New Roman"/>
        </w:rPr>
        <w:t xml:space="preserve">ureau (“Bureau”) has before it </w:t>
      </w:r>
      <w:r w:rsidRPr="0017748A">
        <w:rPr>
          <w:rFonts w:ascii="Times New Roman" w:hAnsi="Times New Roman"/>
        </w:rPr>
        <w:t>a Petition for Reconsiderat</w:t>
      </w:r>
      <w:r>
        <w:rPr>
          <w:rFonts w:ascii="Times New Roman" w:hAnsi="Times New Roman"/>
        </w:rPr>
        <w:t xml:space="preserve">ion (“Petition”) filed on December 10, 2007, by </w:t>
      </w:r>
      <w:r w:rsidR="0043405C">
        <w:rPr>
          <w:rFonts w:ascii="Times New Roman" w:hAnsi="Times New Roman"/>
        </w:rPr>
        <w:t>you</w:t>
      </w:r>
      <w:r>
        <w:rPr>
          <w:rFonts w:ascii="Times New Roman" w:hAnsi="Times New Roman"/>
        </w:rPr>
        <w:t xml:space="preserve"> </w:t>
      </w:r>
      <w:r w:rsidRPr="0017748A">
        <w:rPr>
          <w:rFonts w:ascii="Times New Roman" w:hAnsi="Times New Roman"/>
        </w:rPr>
        <w:t>(“</w:t>
      </w:r>
      <w:r>
        <w:rPr>
          <w:rFonts w:ascii="Times New Roman" w:hAnsi="Times New Roman"/>
        </w:rPr>
        <w:t>Moates</w:t>
      </w:r>
      <w:r w:rsidRPr="0017748A">
        <w:rPr>
          <w:rFonts w:ascii="Times New Roman" w:hAnsi="Times New Roman"/>
        </w:rPr>
        <w:t>”)</w:t>
      </w:r>
      <w:r>
        <w:rPr>
          <w:rFonts w:ascii="Times New Roman" w:hAnsi="Times New Roman"/>
        </w:rPr>
        <w:t xml:space="preserve">, </w:t>
      </w:r>
      <w:r w:rsidR="0043405C">
        <w:rPr>
          <w:rFonts w:ascii="Times New Roman" w:hAnsi="Times New Roman"/>
        </w:rPr>
        <w:t xml:space="preserve">as </w:t>
      </w:r>
      <w:r>
        <w:rPr>
          <w:rFonts w:ascii="Times New Roman" w:hAnsi="Times New Roman"/>
        </w:rPr>
        <w:t xml:space="preserve">the former permittee of unbuilt FM translator station DW286BA, Bloxham, Florida (“Station”), </w:t>
      </w:r>
      <w:r w:rsidRPr="0017748A">
        <w:rPr>
          <w:rFonts w:ascii="Times New Roman" w:hAnsi="Times New Roman"/>
        </w:rPr>
        <w:t>seeking re</w:t>
      </w:r>
      <w:r>
        <w:rPr>
          <w:rFonts w:ascii="Times New Roman" w:hAnsi="Times New Roman"/>
        </w:rPr>
        <w:t xml:space="preserve">instatement of </w:t>
      </w:r>
      <w:r w:rsidR="0043405C">
        <w:rPr>
          <w:rFonts w:ascii="Times New Roman" w:hAnsi="Times New Roman"/>
        </w:rPr>
        <w:t>an</w:t>
      </w:r>
      <w:r>
        <w:rPr>
          <w:rFonts w:ascii="Times New Roman" w:hAnsi="Times New Roman"/>
        </w:rPr>
        <w:t xml:space="preserve"> expired construction permit and a waiver of Section 73.3598 of the Commission’s Rules (“Rules”) to allow additional time for construction of the Station.  For the reasons set forth below, we dismiss the Petition.</w:t>
      </w:r>
    </w:p>
    <w:p w:rsidR="00BD7D5E" w:rsidRDefault="00BD7D5E" w:rsidP="00BD7D5E">
      <w:pPr>
        <w:pStyle w:val="NoSpacing"/>
        <w:rPr>
          <w:rFonts w:ascii="Times New Roman" w:hAnsi="Times New Roman"/>
        </w:rPr>
      </w:pPr>
    </w:p>
    <w:p w:rsidR="00BD7D5E" w:rsidRDefault="00BD7D5E" w:rsidP="00BD7D5E">
      <w:pPr>
        <w:pStyle w:val="NoSpacing"/>
        <w:rPr>
          <w:rFonts w:ascii="Times New Roman" w:hAnsi="Times New Roman"/>
        </w:rPr>
      </w:pPr>
      <w:r>
        <w:rPr>
          <w:rFonts w:ascii="Times New Roman" w:hAnsi="Times New Roman"/>
        </w:rPr>
        <w:tab/>
      </w:r>
      <w:r>
        <w:rPr>
          <w:rFonts w:ascii="Times New Roman" w:hAnsi="Times New Roman"/>
          <w:b/>
        </w:rPr>
        <w:t>Background.</w:t>
      </w:r>
      <w:r>
        <w:rPr>
          <w:rFonts w:ascii="Times New Roman" w:hAnsi="Times New Roman"/>
        </w:rPr>
        <w:t xml:space="preserve">  The Commission issued Moates a construction permit for </w:t>
      </w:r>
      <w:r w:rsidR="001F24E3">
        <w:rPr>
          <w:rFonts w:ascii="Times New Roman" w:hAnsi="Times New Roman"/>
        </w:rPr>
        <w:t xml:space="preserve">a </w:t>
      </w:r>
      <w:r>
        <w:rPr>
          <w:rFonts w:ascii="Times New Roman" w:hAnsi="Times New Roman"/>
        </w:rPr>
        <w:t>new FM translator station in Bloxham, Florida</w:t>
      </w:r>
      <w:r w:rsidR="003E7FD8">
        <w:rPr>
          <w:rFonts w:ascii="Times New Roman" w:hAnsi="Times New Roman"/>
        </w:rPr>
        <w:t xml:space="preserve"> (the “Permit”)</w:t>
      </w:r>
      <w:r>
        <w:rPr>
          <w:rFonts w:ascii="Times New Roman" w:hAnsi="Times New Roman"/>
        </w:rPr>
        <w:t xml:space="preserve"> on November 9, 2004</w:t>
      </w:r>
      <w:r w:rsidR="00897DC8">
        <w:rPr>
          <w:rFonts w:ascii="Times New Roman" w:hAnsi="Times New Roman"/>
        </w:rPr>
        <w:t>,</w:t>
      </w:r>
      <w:r>
        <w:rPr>
          <w:rFonts w:ascii="Times New Roman" w:hAnsi="Times New Roman"/>
        </w:rPr>
        <w:t xml:space="preserve"> for a three-year period expiring automatically on November 9, 2007.</w:t>
      </w:r>
      <w:r>
        <w:rPr>
          <w:rStyle w:val="FootnoteReference"/>
          <w:rFonts w:ascii="Times New Roman" w:hAnsi="Times New Roman"/>
        </w:rPr>
        <w:footnoteReference w:id="1"/>
      </w:r>
      <w:r>
        <w:rPr>
          <w:rFonts w:ascii="Times New Roman" w:hAnsi="Times New Roman"/>
        </w:rPr>
        <w:t xml:space="preserve">  The Commission did not receive a license application to cover the construction permit nor any request for a waiver or tolling of the construction deadline prior to the </w:t>
      </w:r>
      <w:r w:rsidR="003E7FD8">
        <w:rPr>
          <w:rFonts w:ascii="Times New Roman" w:hAnsi="Times New Roman"/>
        </w:rPr>
        <w:t>P</w:t>
      </w:r>
      <w:r>
        <w:rPr>
          <w:rFonts w:ascii="Times New Roman" w:hAnsi="Times New Roman"/>
        </w:rPr>
        <w:t>ermit’s expiration.  Instead, Moates filed the Petition on December 10, 2007, after the expiration of the construction permit.</w:t>
      </w:r>
    </w:p>
    <w:p w:rsidR="00BD7D5E" w:rsidRDefault="00BD7D5E" w:rsidP="00BD7D5E">
      <w:pPr>
        <w:pStyle w:val="NoSpacing"/>
        <w:ind w:firstLine="720"/>
        <w:rPr>
          <w:rFonts w:ascii="Times New Roman" w:hAnsi="Times New Roman"/>
        </w:rPr>
      </w:pPr>
    </w:p>
    <w:p w:rsidR="00BD7D5E" w:rsidRDefault="00BD7D5E" w:rsidP="00BD7D5E">
      <w:pPr>
        <w:pStyle w:val="NoSpacing"/>
        <w:ind w:firstLine="720"/>
        <w:rPr>
          <w:rFonts w:ascii="Times New Roman" w:hAnsi="Times New Roman"/>
        </w:rPr>
      </w:pPr>
      <w:r>
        <w:rPr>
          <w:rFonts w:ascii="Times New Roman" w:hAnsi="Times New Roman"/>
        </w:rPr>
        <w:t xml:space="preserve">In the Petition, Moates argues that reconsideration of the </w:t>
      </w:r>
      <w:r w:rsidR="003E7FD8">
        <w:rPr>
          <w:rFonts w:ascii="Times New Roman" w:hAnsi="Times New Roman"/>
        </w:rPr>
        <w:t>P</w:t>
      </w:r>
      <w:r>
        <w:rPr>
          <w:rFonts w:ascii="Times New Roman" w:hAnsi="Times New Roman"/>
        </w:rPr>
        <w:t xml:space="preserve">ermit’s automatic expiration and a waiver of Section 73.3598 are warranted because of unexpected delays in a </w:t>
      </w:r>
      <w:r w:rsidR="00772ABE">
        <w:rPr>
          <w:rFonts w:ascii="Times New Roman" w:hAnsi="Times New Roman"/>
        </w:rPr>
        <w:t xml:space="preserve">Media </w:t>
      </w:r>
      <w:r>
        <w:rPr>
          <w:rFonts w:ascii="Times New Roman" w:hAnsi="Times New Roman"/>
        </w:rPr>
        <w:t>Bureau</w:t>
      </w:r>
      <w:r w:rsidR="00772ABE">
        <w:rPr>
          <w:rFonts w:ascii="Times New Roman" w:hAnsi="Times New Roman"/>
        </w:rPr>
        <w:t xml:space="preserve"> (“Bureau”)</w:t>
      </w:r>
      <w:r>
        <w:rPr>
          <w:rFonts w:ascii="Times New Roman" w:hAnsi="Times New Roman"/>
        </w:rPr>
        <w:t xml:space="preserve"> proceeding </w:t>
      </w:r>
      <w:r w:rsidR="00DF1294">
        <w:rPr>
          <w:rFonts w:ascii="Times New Roman" w:hAnsi="Times New Roman"/>
        </w:rPr>
        <w:t xml:space="preserve">proposing rule changes to permit AM stations to use </w:t>
      </w:r>
      <w:r>
        <w:rPr>
          <w:rFonts w:ascii="Times New Roman" w:hAnsi="Times New Roman"/>
        </w:rPr>
        <w:t>FM translator</w:t>
      </w:r>
      <w:r w:rsidR="00DF1294">
        <w:rPr>
          <w:rFonts w:ascii="Times New Roman" w:hAnsi="Times New Roman"/>
        </w:rPr>
        <w:t>s to provide “fill-in” service.</w:t>
      </w:r>
      <w:r>
        <w:rPr>
          <w:rStyle w:val="FootnoteReference"/>
          <w:rFonts w:ascii="Times New Roman" w:hAnsi="Times New Roman"/>
        </w:rPr>
        <w:footnoteReference w:id="2"/>
      </w:r>
      <w:r>
        <w:rPr>
          <w:rFonts w:ascii="Times New Roman" w:hAnsi="Times New Roman"/>
        </w:rPr>
        <w:t xml:space="preserve">  Moates states that after the rulemaking is complete, </w:t>
      </w:r>
      <w:r w:rsidR="003E7FD8">
        <w:rPr>
          <w:rFonts w:ascii="Times New Roman" w:hAnsi="Times New Roman"/>
        </w:rPr>
        <w:t xml:space="preserve">he intends </w:t>
      </w:r>
      <w:r>
        <w:rPr>
          <w:rFonts w:ascii="Times New Roman" w:hAnsi="Times New Roman"/>
        </w:rPr>
        <w:t xml:space="preserve">to identify a minority- or small business-owned AM station for rebroadcast over the </w:t>
      </w:r>
      <w:r w:rsidR="00897DC8">
        <w:rPr>
          <w:rFonts w:ascii="Times New Roman" w:hAnsi="Times New Roman"/>
        </w:rPr>
        <w:t>Station</w:t>
      </w:r>
      <w:r>
        <w:rPr>
          <w:rFonts w:ascii="Times New Roman" w:hAnsi="Times New Roman"/>
        </w:rPr>
        <w:t>.</w:t>
      </w:r>
      <w:r>
        <w:rPr>
          <w:rStyle w:val="FootnoteReference"/>
          <w:rFonts w:ascii="Times New Roman" w:hAnsi="Times New Roman"/>
        </w:rPr>
        <w:footnoteReference w:id="3"/>
      </w:r>
      <w:r>
        <w:rPr>
          <w:rFonts w:ascii="Times New Roman" w:hAnsi="Times New Roman"/>
        </w:rPr>
        <w:t xml:space="preserve">  Moates specifically states that such an AM broadcaster has not yet been identified due to the delays.</w:t>
      </w:r>
      <w:r>
        <w:rPr>
          <w:rStyle w:val="FootnoteReference"/>
          <w:rFonts w:ascii="Times New Roman" w:hAnsi="Times New Roman"/>
        </w:rPr>
        <w:footnoteReference w:id="4"/>
      </w:r>
      <w:r>
        <w:rPr>
          <w:rFonts w:ascii="Times New Roman" w:hAnsi="Times New Roman"/>
        </w:rPr>
        <w:t xml:space="preserve">  He assures the Commission that “[o]nce this . . . proceeding is complete . . . [he] is confident that this FM translator will be able to serve the public interest by rebroadcasting the signal of a qualified AM station.”</w:t>
      </w:r>
      <w:r>
        <w:rPr>
          <w:rStyle w:val="FootnoteReference"/>
          <w:rFonts w:ascii="Times New Roman" w:hAnsi="Times New Roman"/>
        </w:rPr>
        <w:footnoteReference w:id="5"/>
      </w:r>
      <w:r>
        <w:rPr>
          <w:rFonts w:ascii="Times New Roman" w:hAnsi="Times New Roman"/>
        </w:rPr>
        <w:t xml:space="preserve"> </w:t>
      </w:r>
    </w:p>
    <w:p w:rsidR="00BD7D5E" w:rsidRDefault="00BD7D5E" w:rsidP="00BD7D5E">
      <w:pPr>
        <w:pStyle w:val="NoSpacing"/>
        <w:ind w:firstLine="720"/>
        <w:rPr>
          <w:rFonts w:ascii="Times New Roman" w:hAnsi="Times New Roman"/>
          <w:color w:val="252525"/>
        </w:rPr>
      </w:pPr>
    </w:p>
    <w:p w:rsidR="00BD7D5E" w:rsidRDefault="00BD7D5E" w:rsidP="00BD7D5E">
      <w:pPr>
        <w:pStyle w:val="NoSpacing"/>
        <w:rPr>
          <w:rFonts w:ascii="Times New Roman" w:hAnsi="Times New Roman"/>
          <w:color w:val="252525"/>
        </w:rPr>
      </w:pPr>
      <w:r>
        <w:rPr>
          <w:rFonts w:ascii="Times New Roman" w:hAnsi="Times New Roman"/>
          <w:color w:val="252525"/>
        </w:rPr>
        <w:tab/>
      </w:r>
      <w:r>
        <w:rPr>
          <w:rFonts w:ascii="Times New Roman" w:hAnsi="Times New Roman"/>
          <w:b/>
          <w:color w:val="252525"/>
        </w:rPr>
        <w:t>Discussion.</w:t>
      </w:r>
      <w:r>
        <w:rPr>
          <w:rFonts w:ascii="Times New Roman" w:hAnsi="Times New Roman"/>
          <w:color w:val="252525"/>
        </w:rPr>
        <w:t xml:space="preserve">  The Commission will consider a petition for reconsideration only when the petitioner shows either a material error in the Commission’s original order or raises additional facts not known or existing at the time of the petitioner’s last opportunity to present such matters.</w:t>
      </w:r>
      <w:r>
        <w:rPr>
          <w:rStyle w:val="FootnoteReference"/>
          <w:rFonts w:ascii="Times New Roman" w:hAnsi="Times New Roman"/>
          <w:color w:val="252525"/>
        </w:rPr>
        <w:footnoteReference w:id="6"/>
      </w:r>
      <w:r>
        <w:rPr>
          <w:rFonts w:ascii="Times New Roman" w:hAnsi="Times New Roman"/>
          <w:color w:val="252525"/>
        </w:rPr>
        <w:t xml:space="preserve">  The Permit at issue expired automatically as a matter of law on November 9, 2007</w:t>
      </w:r>
      <w:r w:rsidR="00897DC8">
        <w:rPr>
          <w:rFonts w:ascii="Times New Roman" w:hAnsi="Times New Roman"/>
          <w:color w:val="252525"/>
        </w:rPr>
        <w:t>,</w:t>
      </w:r>
      <w:r w:rsidRPr="00026BBC">
        <w:rPr>
          <w:rFonts w:ascii="Times New Roman" w:hAnsi="Times New Roman"/>
          <w:color w:val="252525"/>
        </w:rPr>
        <w:t xml:space="preserve"> </w:t>
      </w:r>
      <w:r>
        <w:rPr>
          <w:rFonts w:ascii="Times New Roman" w:hAnsi="Times New Roman"/>
          <w:color w:val="252525"/>
        </w:rPr>
        <w:t xml:space="preserve">pursuant to its terms and Section 73.3598(e) after </w:t>
      </w:r>
      <w:r>
        <w:rPr>
          <w:rFonts w:ascii="Times New Roman" w:hAnsi="Times New Roman"/>
        </w:rPr>
        <w:t xml:space="preserve">Moates failed to </w:t>
      </w:r>
      <w:r w:rsidR="00DF1294">
        <w:rPr>
          <w:rFonts w:ascii="Times New Roman" w:hAnsi="Times New Roman"/>
        </w:rPr>
        <w:t xml:space="preserve">either </w:t>
      </w:r>
      <w:r>
        <w:rPr>
          <w:rFonts w:ascii="Times New Roman" w:hAnsi="Times New Roman"/>
        </w:rPr>
        <w:t xml:space="preserve">complete construction </w:t>
      </w:r>
      <w:r w:rsidR="00DF1294">
        <w:rPr>
          <w:rFonts w:ascii="Times New Roman" w:hAnsi="Times New Roman"/>
        </w:rPr>
        <w:t xml:space="preserve">or </w:t>
      </w:r>
      <w:r>
        <w:rPr>
          <w:rFonts w:ascii="Times New Roman" w:hAnsi="Times New Roman"/>
          <w:color w:val="252525"/>
        </w:rPr>
        <w:t xml:space="preserve">file </w:t>
      </w:r>
      <w:r w:rsidR="00866EF2">
        <w:rPr>
          <w:rFonts w:ascii="Times New Roman" w:hAnsi="Times New Roman"/>
          <w:color w:val="252525"/>
        </w:rPr>
        <w:t>a covering license application</w:t>
      </w:r>
      <w:r w:rsidR="00000FC4">
        <w:rPr>
          <w:rFonts w:ascii="Times New Roman" w:hAnsi="Times New Roman"/>
          <w:color w:val="252525"/>
        </w:rPr>
        <w:t xml:space="preserve"> </w:t>
      </w:r>
      <w:r w:rsidR="00DF1294">
        <w:rPr>
          <w:rFonts w:ascii="Times New Roman" w:hAnsi="Times New Roman"/>
          <w:color w:val="252525"/>
        </w:rPr>
        <w:t>by that date</w:t>
      </w:r>
      <w:r>
        <w:rPr>
          <w:rFonts w:ascii="Times New Roman" w:hAnsi="Times New Roman"/>
          <w:color w:val="252525"/>
        </w:rPr>
        <w:t>.</w:t>
      </w:r>
      <w:r>
        <w:rPr>
          <w:rStyle w:val="FootnoteReference"/>
          <w:rFonts w:ascii="Times New Roman" w:hAnsi="Times New Roman"/>
          <w:color w:val="252525"/>
        </w:rPr>
        <w:footnoteReference w:id="7"/>
      </w:r>
      <w:r>
        <w:rPr>
          <w:rFonts w:ascii="Times New Roman" w:hAnsi="Times New Roman"/>
          <w:color w:val="252525"/>
        </w:rPr>
        <w:t xml:space="preserve">  Because the Commission did not “dismiss” the Permit or take any affirmative action but rather the Permit expired as a matter of law pursuant to Section 73.3598(e),</w:t>
      </w:r>
      <w:r w:rsidR="00DF1294">
        <w:rPr>
          <w:rStyle w:val="FootnoteReference"/>
          <w:rFonts w:ascii="Times New Roman" w:hAnsi="Times New Roman"/>
          <w:color w:val="252525"/>
        </w:rPr>
        <w:footnoteReference w:id="8"/>
      </w:r>
      <w:r>
        <w:rPr>
          <w:rFonts w:ascii="Times New Roman" w:hAnsi="Times New Roman"/>
          <w:color w:val="252525"/>
        </w:rPr>
        <w:t xml:space="preserve"> we will dismiss the Petition as procedurally defective.</w:t>
      </w:r>
      <w:r>
        <w:rPr>
          <w:rStyle w:val="FootnoteReference"/>
          <w:rFonts w:ascii="Times New Roman" w:hAnsi="Times New Roman"/>
          <w:color w:val="252525"/>
        </w:rPr>
        <w:footnoteReference w:id="9"/>
      </w:r>
      <w:r>
        <w:rPr>
          <w:rFonts w:ascii="Times New Roman" w:hAnsi="Times New Roman"/>
          <w:color w:val="252525"/>
        </w:rPr>
        <w:t xml:space="preserve">  </w:t>
      </w:r>
    </w:p>
    <w:p w:rsidR="00BD7D5E" w:rsidRDefault="00BD7D5E" w:rsidP="00BD7D5E">
      <w:pPr>
        <w:pStyle w:val="NoSpacing"/>
        <w:rPr>
          <w:rFonts w:ascii="Times New Roman" w:hAnsi="Times New Roman"/>
          <w:color w:val="252525"/>
        </w:rPr>
      </w:pPr>
    </w:p>
    <w:p w:rsidR="00897DC8" w:rsidRDefault="00897DC8" w:rsidP="00736DBF">
      <w:pPr>
        <w:pStyle w:val="NoSpacing"/>
        <w:ind w:firstLine="720"/>
        <w:rPr>
          <w:rFonts w:ascii="Times New Roman" w:hAnsi="Times New Roman"/>
          <w:color w:val="252525"/>
        </w:rPr>
      </w:pPr>
      <w:r>
        <w:rPr>
          <w:rFonts w:ascii="Times New Roman" w:hAnsi="Times New Roman"/>
          <w:color w:val="252525"/>
        </w:rPr>
        <w:t>We will, however,</w:t>
      </w:r>
      <w:r w:rsidR="00BD7D5E">
        <w:rPr>
          <w:rFonts w:ascii="Times New Roman" w:hAnsi="Times New Roman"/>
          <w:color w:val="252525"/>
        </w:rPr>
        <w:t xml:space="preserve"> consider the merits </w:t>
      </w:r>
      <w:r>
        <w:rPr>
          <w:rFonts w:ascii="Times New Roman" w:hAnsi="Times New Roman"/>
          <w:color w:val="252525"/>
        </w:rPr>
        <w:t>of Moates’</w:t>
      </w:r>
      <w:r w:rsidR="00000FC4">
        <w:rPr>
          <w:rFonts w:ascii="Times New Roman" w:hAnsi="Times New Roman"/>
          <w:color w:val="252525"/>
        </w:rPr>
        <w:t>s</w:t>
      </w:r>
      <w:r>
        <w:rPr>
          <w:rFonts w:ascii="Times New Roman" w:hAnsi="Times New Roman"/>
          <w:color w:val="252525"/>
        </w:rPr>
        <w:t xml:space="preserve"> </w:t>
      </w:r>
      <w:r w:rsidR="004B6C7C">
        <w:rPr>
          <w:rFonts w:ascii="Times New Roman" w:hAnsi="Times New Roman"/>
          <w:color w:val="252525"/>
        </w:rPr>
        <w:t xml:space="preserve">request for </w:t>
      </w:r>
      <w:r w:rsidR="00212051">
        <w:rPr>
          <w:rFonts w:ascii="Times New Roman" w:hAnsi="Times New Roman"/>
          <w:color w:val="252525"/>
        </w:rPr>
        <w:t>the relief</w:t>
      </w:r>
      <w:r w:rsidR="00DF1294">
        <w:rPr>
          <w:rFonts w:ascii="Times New Roman" w:hAnsi="Times New Roman"/>
          <w:color w:val="252525"/>
        </w:rPr>
        <w:t xml:space="preserve">, </w:t>
      </w:r>
      <w:r w:rsidR="00212051" w:rsidRPr="00B12487">
        <w:rPr>
          <w:rFonts w:ascii="Times New Roman" w:hAnsi="Times New Roman"/>
          <w:i/>
          <w:color w:val="252525"/>
        </w:rPr>
        <w:t>i.e.</w:t>
      </w:r>
      <w:r w:rsidR="00212051">
        <w:rPr>
          <w:rFonts w:ascii="Times New Roman" w:hAnsi="Times New Roman"/>
          <w:color w:val="252525"/>
        </w:rPr>
        <w:t xml:space="preserve">, </w:t>
      </w:r>
      <w:r w:rsidR="004B6C7C">
        <w:rPr>
          <w:rFonts w:ascii="Times New Roman" w:hAnsi="Times New Roman"/>
          <w:color w:val="252525"/>
        </w:rPr>
        <w:t xml:space="preserve">reinstatement of the </w:t>
      </w:r>
      <w:r w:rsidR="00212051">
        <w:rPr>
          <w:rFonts w:ascii="Times New Roman" w:hAnsi="Times New Roman"/>
          <w:color w:val="252525"/>
        </w:rPr>
        <w:t>P</w:t>
      </w:r>
      <w:r w:rsidR="004B6C7C">
        <w:rPr>
          <w:rFonts w:ascii="Times New Roman" w:hAnsi="Times New Roman"/>
          <w:color w:val="252525"/>
        </w:rPr>
        <w:t xml:space="preserve">ermit </w:t>
      </w:r>
      <w:r w:rsidR="00212051" w:rsidRPr="006B7759">
        <w:rPr>
          <w:rFonts w:ascii="Times New Roman" w:hAnsi="Times New Roman"/>
          <w:i/>
          <w:color w:val="252525"/>
        </w:rPr>
        <w:t>nunc pro tunc</w:t>
      </w:r>
      <w:r w:rsidR="00212051">
        <w:rPr>
          <w:rFonts w:ascii="Times New Roman" w:hAnsi="Times New Roman"/>
          <w:color w:val="252525"/>
        </w:rPr>
        <w:t xml:space="preserve"> pursuant to </w:t>
      </w:r>
      <w:r w:rsidR="004B6C7C">
        <w:rPr>
          <w:rFonts w:ascii="Times New Roman" w:hAnsi="Times New Roman"/>
          <w:color w:val="252525"/>
        </w:rPr>
        <w:t xml:space="preserve">waivers of the automatic forfeiture and construction deadline provisions of </w:t>
      </w:r>
      <w:r w:rsidR="00BD7D5E">
        <w:rPr>
          <w:rFonts w:ascii="Times New Roman" w:hAnsi="Times New Roman"/>
          <w:color w:val="252525"/>
        </w:rPr>
        <w:t>Section 73.3598.</w:t>
      </w:r>
      <w:r w:rsidR="00BD7D5E">
        <w:rPr>
          <w:rStyle w:val="FootnoteReference"/>
          <w:rFonts w:ascii="Times New Roman" w:hAnsi="Times New Roman"/>
          <w:color w:val="252525"/>
        </w:rPr>
        <w:footnoteReference w:id="10"/>
      </w:r>
      <w:r w:rsidR="00BD7D5E">
        <w:rPr>
          <w:rFonts w:ascii="Times New Roman" w:hAnsi="Times New Roman"/>
          <w:color w:val="252525"/>
        </w:rPr>
        <w:t xml:space="preserve">  The Commission’s rules may be waived only for good cause shown.</w:t>
      </w:r>
      <w:r w:rsidR="00BD7D5E">
        <w:rPr>
          <w:rStyle w:val="FootnoteReference"/>
          <w:rFonts w:ascii="Times New Roman" w:hAnsi="Times New Roman"/>
          <w:color w:val="252525"/>
        </w:rPr>
        <w:footnoteReference w:id="11"/>
      </w:r>
      <w:r w:rsidR="00BD7D5E">
        <w:rPr>
          <w:rFonts w:ascii="Times New Roman" w:hAnsi="Times New Roman"/>
          <w:color w:val="252525"/>
        </w:rPr>
        <w:t xml:space="preserve">  Waiver of the </w:t>
      </w:r>
      <w:r w:rsidR="0043405C">
        <w:rPr>
          <w:rFonts w:ascii="Times New Roman" w:hAnsi="Times New Roman"/>
          <w:color w:val="252525"/>
        </w:rPr>
        <w:t>R</w:t>
      </w:r>
      <w:r w:rsidR="00BD7D5E">
        <w:rPr>
          <w:rFonts w:ascii="Times New Roman" w:hAnsi="Times New Roman"/>
          <w:color w:val="252525"/>
        </w:rPr>
        <w:t>ules, however, is only appropriate if special circumstances warrant a deviation from the general rule and the deviation will serve the public interest.</w:t>
      </w:r>
      <w:r w:rsidR="00BD7D5E">
        <w:rPr>
          <w:rStyle w:val="FootnoteReference"/>
          <w:rFonts w:ascii="Times New Roman" w:hAnsi="Times New Roman"/>
          <w:color w:val="252525"/>
        </w:rPr>
        <w:footnoteReference w:id="12"/>
      </w:r>
      <w:r w:rsidR="00BD7D5E">
        <w:rPr>
          <w:rFonts w:ascii="Times New Roman" w:hAnsi="Times New Roman"/>
          <w:color w:val="252525"/>
        </w:rPr>
        <w:t xml:space="preserve">  The Commission has previously stated that waivers of broadcast construction deadlines are appropriate only when construction has been prevented by “rare and exceptional circumstances” beyond the permittee’s control.</w:t>
      </w:r>
      <w:r w:rsidR="00BD7D5E">
        <w:rPr>
          <w:rStyle w:val="FootnoteReference"/>
          <w:rFonts w:ascii="Times New Roman" w:hAnsi="Times New Roman"/>
          <w:color w:val="252525"/>
        </w:rPr>
        <w:footnoteReference w:id="13"/>
      </w:r>
      <w:r w:rsidR="00BD7D5E">
        <w:rPr>
          <w:rFonts w:ascii="Times New Roman" w:hAnsi="Times New Roman"/>
          <w:color w:val="252525"/>
        </w:rPr>
        <w:t xml:space="preserve">  Furthermore, the Commission has broad discretion in determining whether circumstances alleged to have prevented timely construction were clearly beyond the permittee’s control.</w:t>
      </w:r>
      <w:r w:rsidR="00BD7D5E">
        <w:rPr>
          <w:rStyle w:val="FootnoteReference"/>
          <w:rFonts w:ascii="Times New Roman" w:hAnsi="Times New Roman"/>
          <w:color w:val="252525"/>
        </w:rPr>
        <w:footnoteReference w:id="14"/>
      </w:r>
      <w:r w:rsidR="00BD7D5E">
        <w:rPr>
          <w:rFonts w:ascii="Times New Roman" w:hAnsi="Times New Roman"/>
          <w:color w:val="252525"/>
        </w:rPr>
        <w:t xml:space="preserve">  </w:t>
      </w:r>
    </w:p>
    <w:p w:rsidR="007C4C26" w:rsidRDefault="007C4C26" w:rsidP="004E305D">
      <w:pPr>
        <w:pStyle w:val="NoSpacing"/>
        <w:rPr>
          <w:rFonts w:ascii="Times New Roman" w:hAnsi="Times New Roman"/>
          <w:color w:val="252525"/>
        </w:rPr>
      </w:pPr>
    </w:p>
    <w:p w:rsidR="004E305D" w:rsidRDefault="00BD7D5E" w:rsidP="00BD7D5E">
      <w:pPr>
        <w:pStyle w:val="NoSpacing"/>
        <w:rPr>
          <w:rFonts w:ascii="Times New Roman" w:hAnsi="Times New Roman"/>
          <w:color w:val="252525"/>
        </w:rPr>
      </w:pPr>
      <w:r>
        <w:rPr>
          <w:rFonts w:ascii="Times New Roman" w:hAnsi="Times New Roman"/>
          <w:color w:val="252525"/>
        </w:rPr>
        <w:tab/>
        <w:t>Moates</w:t>
      </w:r>
      <w:r w:rsidR="009B704F">
        <w:rPr>
          <w:rFonts w:ascii="Times New Roman" w:hAnsi="Times New Roman"/>
          <w:color w:val="252525"/>
        </w:rPr>
        <w:t xml:space="preserve">’s request </w:t>
      </w:r>
      <w:r>
        <w:rPr>
          <w:rFonts w:ascii="Times New Roman" w:hAnsi="Times New Roman"/>
          <w:color w:val="252525"/>
        </w:rPr>
        <w:t xml:space="preserve">fails to meet </w:t>
      </w:r>
      <w:r w:rsidR="00DF1294">
        <w:rPr>
          <w:rFonts w:ascii="Times New Roman" w:hAnsi="Times New Roman"/>
          <w:color w:val="252525"/>
        </w:rPr>
        <w:t>this stringent standard</w:t>
      </w:r>
      <w:r>
        <w:rPr>
          <w:rFonts w:ascii="Times New Roman" w:hAnsi="Times New Roman"/>
          <w:color w:val="252525"/>
        </w:rPr>
        <w:t>.  The NPRM alleged to have interfered with construction</w:t>
      </w:r>
      <w:r w:rsidR="00BE0777">
        <w:rPr>
          <w:rFonts w:ascii="Times New Roman" w:hAnsi="Times New Roman"/>
          <w:color w:val="252525"/>
        </w:rPr>
        <w:t xml:space="preserve"> </w:t>
      </w:r>
      <w:r>
        <w:rPr>
          <w:rFonts w:ascii="Times New Roman" w:hAnsi="Times New Roman"/>
          <w:color w:val="252525"/>
        </w:rPr>
        <w:t>was not released until August 15, 2007</w:t>
      </w:r>
      <w:r w:rsidR="00B12487">
        <w:rPr>
          <w:rFonts w:ascii="Times New Roman" w:hAnsi="Times New Roman"/>
          <w:color w:val="252525"/>
        </w:rPr>
        <w:t>,</w:t>
      </w:r>
      <w:r w:rsidR="003E7FD8">
        <w:rPr>
          <w:rFonts w:ascii="Times New Roman" w:hAnsi="Times New Roman"/>
          <w:color w:val="252525"/>
        </w:rPr>
        <w:t xml:space="preserve"> at which time</w:t>
      </w:r>
      <w:r>
        <w:rPr>
          <w:rFonts w:ascii="Times New Roman" w:hAnsi="Times New Roman"/>
          <w:color w:val="252525"/>
        </w:rPr>
        <w:t xml:space="preserve"> only three months remained under the construction permit until the permit was rendered automatically expired as a matter of law</w:t>
      </w:r>
      <w:r>
        <w:rPr>
          <w:rStyle w:val="FootnoteReference"/>
          <w:rFonts w:ascii="Times New Roman" w:hAnsi="Times New Roman"/>
          <w:color w:val="252525"/>
        </w:rPr>
        <w:footnoteReference w:id="15"/>
      </w:r>
      <w:r w:rsidR="003E7FD8">
        <w:rPr>
          <w:rFonts w:ascii="Times New Roman" w:hAnsi="Times New Roman"/>
          <w:color w:val="252525"/>
        </w:rPr>
        <w:t xml:space="preserve">  – and the Rules promulgated therein were not adopted until June of 2009, long after the Permit had expired. </w:t>
      </w:r>
      <w:r>
        <w:rPr>
          <w:rFonts w:ascii="Times New Roman" w:hAnsi="Times New Roman"/>
          <w:color w:val="252525"/>
        </w:rPr>
        <w:t xml:space="preserve">  </w:t>
      </w:r>
      <w:r w:rsidR="003E7FD8">
        <w:rPr>
          <w:rFonts w:ascii="Times New Roman" w:hAnsi="Times New Roman"/>
          <w:color w:val="252525"/>
        </w:rPr>
        <w:lastRenderedPageBreak/>
        <w:t>R</w:t>
      </w:r>
      <w:r>
        <w:rPr>
          <w:rFonts w:ascii="Times New Roman" w:hAnsi="Times New Roman"/>
          <w:color w:val="252525"/>
        </w:rPr>
        <w:t xml:space="preserve">ather, Moates’s decision to refrain from constructing his station was the result of </w:t>
      </w:r>
      <w:r w:rsidR="00BE0777">
        <w:rPr>
          <w:rFonts w:ascii="Times New Roman" w:hAnsi="Times New Roman"/>
          <w:color w:val="252525"/>
        </w:rPr>
        <w:t xml:space="preserve">his private </w:t>
      </w:r>
      <w:r>
        <w:rPr>
          <w:rFonts w:ascii="Times New Roman" w:hAnsi="Times New Roman"/>
          <w:color w:val="252525"/>
        </w:rPr>
        <w:t xml:space="preserve">business calculations, including apparent procrastination until the end of the initial three-year construction period and his </w:t>
      </w:r>
      <w:r w:rsidRPr="00BE0777">
        <w:rPr>
          <w:rFonts w:ascii="Times New Roman" w:hAnsi="Times New Roman"/>
          <w:color w:val="252525"/>
        </w:rPr>
        <w:t>preference</w:t>
      </w:r>
      <w:r>
        <w:rPr>
          <w:rFonts w:ascii="Times New Roman" w:hAnsi="Times New Roman"/>
          <w:color w:val="252525"/>
        </w:rPr>
        <w:t xml:space="preserve"> to use the FM translator </w:t>
      </w:r>
      <w:r w:rsidR="0043405C">
        <w:rPr>
          <w:rFonts w:ascii="Times New Roman" w:hAnsi="Times New Roman"/>
          <w:color w:val="252525"/>
        </w:rPr>
        <w:t>to rebroadcast an AM station, which the Rules did not allow either when Moates applied for the construction permit for the Station or at any point during the Permit’s three-year term.</w:t>
      </w:r>
      <w:r>
        <w:rPr>
          <w:rFonts w:ascii="Times New Roman" w:hAnsi="Times New Roman"/>
          <w:color w:val="252525"/>
        </w:rPr>
        <w:t xml:space="preserve">  As a result, </w:t>
      </w:r>
      <w:r w:rsidR="00670328">
        <w:rPr>
          <w:rFonts w:ascii="Times New Roman" w:hAnsi="Times New Roman"/>
          <w:color w:val="252525"/>
        </w:rPr>
        <w:t xml:space="preserve">and </w:t>
      </w:r>
      <w:r>
        <w:rPr>
          <w:rFonts w:ascii="Times New Roman" w:hAnsi="Times New Roman"/>
          <w:color w:val="252525"/>
        </w:rPr>
        <w:t xml:space="preserve">unlike cases in which the Commission has recognized that a permittee encountered circumstances beyond </w:t>
      </w:r>
      <w:r w:rsidR="00BE0777">
        <w:rPr>
          <w:rFonts w:ascii="Times New Roman" w:hAnsi="Times New Roman"/>
          <w:color w:val="252525"/>
        </w:rPr>
        <w:t>its</w:t>
      </w:r>
      <w:r>
        <w:rPr>
          <w:rFonts w:ascii="Times New Roman" w:hAnsi="Times New Roman"/>
          <w:color w:val="252525"/>
        </w:rPr>
        <w:t xml:space="preserve"> control,</w:t>
      </w:r>
      <w:r>
        <w:rPr>
          <w:rStyle w:val="FootnoteReference"/>
          <w:rFonts w:ascii="Times New Roman" w:hAnsi="Times New Roman"/>
          <w:color w:val="252525"/>
        </w:rPr>
        <w:footnoteReference w:id="16"/>
      </w:r>
      <w:r>
        <w:rPr>
          <w:rFonts w:ascii="Times New Roman" w:hAnsi="Times New Roman"/>
          <w:color w:val="252525"/>
        </w:rPr>
        <w:t xml:space="preserve">  Moates has not demonstrated any sufficiently “rare and exceptional circumstances” that would justify a waiver of the three-year construction deadline and other requirements pursuant to Section 73.3598.</w:t>
      </w:r>
      <w:r w:rsidR="0043405C">
        <w:rPr>
          <w:rFonts w:ascii="Times New Roman" w:hAnsi="Times New Roman"/>
          <w:color w:val="252525"/>
        </w:rPr>
        <w:t xml:space="preserve">  In addition, granting a waiver</w:t>
      </w:r>
      <w:r w:rsidR="00E9002D">
        <w:rPr>
          <w:rFonts w:ascii="Times New Roman" w:hAnsi="Times New Roman"/>
          <w:color w:val="252525"/>
        </w:rPr>
        <w:t xml:space="preserve"> of Section 73.3598(a) of the Rules</w:t>
      </w:r>
      <w:r w:rsidR="0043405C">
        <w:rPr>
          <w:rFonts w:ascii="Times New Roman" w:hAnsi="Times New Roman"/>
          <w:color w:val="252525"/>
        </w:rPr>
        <w:t xml:space="preserve"> here would undermine the public interest in enforcing a Rule that promotes rapid </w:t>
      </w:r>
      <w:r w:rsidR="00C53546">
        <w:rPr>
          <w:rFonts w:ascii="Times New Roman" w:hAnsi="Times New Roman"/>
          <w:color w:val="252525"/>
        </w:rPr>
        <w:t>construction of stations and introduction of new and expanded service.</w:t>
      </w:r>
      <w:r w:rsidR="009B704F">
        <w:rPr>
          <w:rFonts w:ascii="Times New Roman" w:hAnsi="Times New Roman"/>
          <w:color w:val="252525"/>
        </w:rPr>
        <w:t xml:space="preserve">  </w:t>
      </w:r>
    </w:p>
    <w:p w:rsidR="00BD7D5E" w:rsidRDefault="00BD7D5E" w:rsidP="000E3EAD">
      <w:pPr>
        <w:pStyle w:val="NoSpacing"/>
        <w:rPr>
          <w:rFonts w:ascii="Times New Roman" w:hAnsi="Times New Roman"/>
          <w:color w:val="252525"/>
        </w:rPr>
      </w:pPr>
    </w:p>
    <w:p w:rsidR="009B704F" w:rsidRPr="00B12487" w:rsidRDefault="00BD7D5E" w:rsidP="006B7759">
      <w:pPr>
        <w:pStyle w:val="NoSpacing"/>
        <w:ind w:firstLine="720"/>
        <w:rPr>
          <w:rFonts w:ascii="Times New Roman" w:hAnsi="Times New Roman"/>
          <w:color w:val="252525"/>
        </w:rPr>
      </w:pPr>
      <w:r w:rsidRPr="00B12487">
        <w:rPr>
          <w:rFonts w:ascii="Times New Roman" w:hAnsi="Times New Roman"/>
          <w:color w:val="252525"/>
        </w:rPr>
        <w:t>Finally, Moates notes that “the Commission is reportedly considering extensions of expiring construction permits in certain circumstances where minorities and small businesses may benefit.”</w:t>
      </w:r>
      <w:r w:rsidRPr="00B12487">
        <w:rPr>
          <w:rStyle w:val="FootnoteReference"/>
          <w:rFonts w:ascii="Times New Roman" w:hAnsi="Times New Roman"/>
          <w:color w:val="252525"/>
        </w:rPr>
        <w:footnoteReference w:id="17"/>
      </w:r>
      <w:r w:rsidRPr="00B12487">
        <w:rPr>
          <w:rFonts w:ascii="Times New Roman" w:hAnsi="Times New Roman"/>
          <w:color w:val="252525"/>
        </w:rPr>
        <w:t xml:space="preserve">  </w:t>
      </w:r>
      <w:r w:rsidR="00670328" w:rsidRPr="00B12487">
        <w:rPr>
          <w:rFonts w:ascii="Times New Roman" w:hAnsi="Times New Roman"/>
          <w:color w:val="252525"/>
        </w:rPr>
        <w:t>In 2008, t</w:t>
      </w:r>
      <w:r w:rsidRPr="00B12487">
        <w:rPr>
          <w:rFonts w:ascii="Times New Roman" w:hAnsi="Times New Roman"/>
          <w:color w:val="252525"/>
        </w:rPr>
        <w:t>he Commission adopted changes to the Rules to facilitate ownership diversity in the broadcasting industry.</w:t>
      </w:r>
      <w:r w:rsidRPr="00B12487">
        <w:rPr>
          <w:rStyle w:val="FootnoteReference"/>
          <w:rFonts w:ascii="Times New Roman" w:hAnsi="Times New Roman"/>
          <w:color w:val="252525"/>
        </w:rPr>
        <w:footnoteReference w:id="18"/>
      </w:r>
      <w:r w:rsidRPr="00B12487">
        <w:rPr>
          <w:rFonts w:ascii="Times New Roman" w:hAnsi="Times New Roman"/>
          <w:color w:val="252525"/>
        </w:rPr>
        <w:t xml:space="preserve">  The rule allowing additional construction time applied solely to “issued and outstanding construction permits” sold or transferred to “eligible entities.”</w:t>
      </w:r>
      <w:r w:rsidRPr="00B12487">
        <w:rPr>
          <w:rStyle w:val="FootnoteReference"/>
          <w:rFonts w:ascii="Times New Roman" w:hAnsi="Times New Roman"/>
          <w:color w:val="252525"/>
        </w:rPr>
        <w:footnoteReference w:id="19"/>
      </w:r>
      <w:r w:rsidRPr="00B12487">
        <w:rPr>
          <w:rFonts w:ascii="Times New Roman" w:hAnsi="Times New Roman"/>
          <w:color w:val="252525"/>
        </w:rPr>
        <w:t xml:space="preserve">  In 2011, however, the United States Court of Appeals for the Third Circuit vacated the Commission’s “eligible entity” definition and remanded all provisions of the </w:t>
      </w:r>
      <w:r w:rsidRPr="00B12487">
        <w:rPr>
          <w:rFonts w:ascii="Times New Roman" w:hAnsi="Times New Roman"/>
          <w:i/>
          <w:color w:val="252525"/>
        </w:rPr>
        <w:t>Diversity Order</w:t>
      </w:r>
      <w:r w:rsidRPr="00B12487">
        <w:rPr>
          <w:rFonts w:ascii="Times New Roman" w:hAnsi="Times New Roman"/>
          <w:color w:val="252525"/>
        </w:rPr>
        <w:t xml:space="preserve"> that rely on the “eligible entity” definition.</w:t>
      </w:r>
      <w:r w:rsidRPr="00B12487">
        <w:rPr>
          <w:rStyle w:val="FootnoteReference"/>
          <w:rFonts w:ascii="Times New Roman" w:hAnsi="Times New Roman"/>
          <w:color w:val="252525"/>
        </w:rPr>
        <w:footnoteReference w:id="20"/>
      </w:r>
      <w:r w:rsidRPr="00B12487">
        <w:rPr>
          <w:rFonts w:ascii="Times New Roman" w:hAnsi="Times New Roman"/>
          <w:color w:val="252525"/>
        </w:rPr>
        <w:t xml:space="preserve">  </w:t>
      </w:r>
      <w:r w:rsidR="005C4D14">
        <w:rPr>
          <w:rStyle w:val="Strong"/>
          <w:rFonts w:ascii="Times New Roman" w:hAnsi="Times New Roman"/>
          <w:b w:val="0"/>
          <w:bCs w:val="0"/>
          <w:color w:val="000000"/>
        </w:rPr>
        <w:t>Subsequent</w:t>
      </w:r>
      <w:r w:rsidR="00772ABE">
        <w:rPr>
          <w:rStyle w:val="Strong"/>
          <w:rFonts w:ascii="Times New Roman" w:hAnsi="Times New Roman"/>
          <w:b w:val="0"/>
          <w:bCs w:val="0"/>
          <w:color w:val="000000"/>
        </w:rPr>
        <w:t xml:space="preserve"> to the </w:t>
      </w:r>
      <w:r w:rsidR="00F05742">
        <w:rPr>
          <w:rStyle w:val="Strong"/>
          <w:rFonts w:ascii="Times New Roman" w:hAnsi="Times New Roman"/>
          <w:b w:val="0"/>
          <w:bCs w:val="0"/>
          <w:color w:val="000000"/>
        </w:rPr>
        <w:t>Third Circuit’s decision</w:t>
      </w:r>
      <w:r w:rsidR="00B12487" w:rsidRPr="00B12487">
        <w:rPr>
          <w:rStyle w:val="Strong"/>
          <w:rFonts w:ascii="Times New Roman" w:hAnsi="Times New Roman"/>
          <w:b w:val="0"/>
          <w:bCs w:val="0"/>
          <w:color w:val="000000"/>
        </w:rPr>
        <w:t>, the Bureau suspended application of the eligible entity rule provisions and policies in all contexts.</w:t>
      </w:r>
      <w:r w:rsidR="00B12487" w:rsidRPr="00B12487">
        <w:rPr>
          <w:rStyle w:val="FootnoteReference"/>
          <w:rFonts w:ascii="Times New Roman" w:hAnsi="Times New Roman"/>
          <w:color w:val="000000"/>
        </w:rPr>
        <w:footnoteReference w:id="21"/>
      </w:r>
      <w:r w:rsidR="00B12487" w:rsidRPr="00B12487">
        <w:rPr>
          <w:rStyle w:val="Strong"/>
          <w:rFonts w:ascii="Times New Roman" w:hAnsi="Times New Roman"/>
          <w:b w:val="0"/>
          <w:bCs w:val="0"/>
          <w:color w:val="000000"/>
        </w:rPr>
        <w:t xml:space="preserve">  In announcing this course of action, the Bureau stated that, for pending applications, if the construction permit has expired, the construction permit is forfeited and the Bureau will dismiss the assignment application.</w:t>
      </w:r>
      <w:r w:rsidR="00B12487" w:rsidRPr="00B12487">
        <w:rPr>
          <w:rStyle w:val="FootnoteReference"/>
          <w:rFonts w:ascii="Times New Roman" w:hAnsi="Times New Roman"/>
          <w:color w:val="000000"/>
        </w:rPr>
        <w:footnoteReference w:id="22"/>
      </w:r>
      <w:r w:rsidR="00B12487" w:rsidRPr="00B12487">
        <w:rPr>
          <w:rStyle w:val="Strong"/>
          <w:rFonts w:ascii="Times New Roman" w:hAnsi="Times New Roman"/>
          <w:b w:val="0"/>
          <w:bCs w:val="0"/>
          <w:color w:val="000000"/>
        </w:rPr>
        <w:t xml:space="preserve">  </w:t>
      </w:r>
      <w:r w:rsidR="00BE0777">
        <w:rPr>
          <w:rFonts w:ascii="Times New Roman" w:hAnsi="Times New Roman"/>
          <w:color w:val="252525"/>
        </w:rPr>
        <w:t>In any event</w:t>
      </w:r>
      <w:r w:rsidR="009B704F" w:rsidRPr="00B12487">
        <w:rPr>
          <w:rFonts w:ascii="Times New Roman" w:hAnsi="Times New Roman"/>
          <w:color w:val="252525"/>
        </w:rPr>
        <w:t xml:space="preserve">, </w:t>
      </w:r>
      <w:r w:rsidR="003D6557" w:rsidRPr="00B12487">
        <w:rPr>
          <w:rFonts w:ascii="Times New Roman" w:hAnsi="Times New Roman"/>
          <w:color w:val="252525"/>
        </w:rPr>
        <w:t xml:space="preserve">Moates would have been ineligible for the extension </w:t>
      </w:r>
      <w:r w:rsidR="009B704F" w:rsidRPr="00B12487">
        <w:rPr>
          <w:rFonts w:ascii="Times New Roman" w:hAnsi="Times New Roman"/>
          <w:color w:val="252525"/>
        </w:rPr>
        <w:t>because</w:t>
      </w:r>
      <w:r w:rsidRPr="00B12487">
        <w:rPr>
          <w:rFonts w:ascii="Times New Roman" w:hAnsi="Times New Roman"/>
          <w:color w:val="252525"/>
        </w:rPr>
        <w:t xml:space="preserve"> </w:t>
      </w:r>
      <w:r w:rsidR="003D6557" w:rsidRPr="00B12487">
        <w:rPr>
          <w:rFonts w:ascii="Times New Roman" w:hAnsi="Times New Roman"/>
          <w:color w:val="252525"/>
        </w:rPr>
        <w:t xml:space="preserve">he </w:t>
      </w:r>
      <w:r w:rsidR="009B704F" w:rsidRPr="00B12487">
        <w:rPr>
          <w:rFonts w:ascii="Times New Roman" w:hAnsi="Times New Roman"/>
          <w:color w:val="252525"/>
        </w:rPr>
        <w:t xml:space="preserve">was an original permittee rather than an </w:t>
      </w:r>
      <w:r w:rsidR="003D6557" w:rsidRPr="00B12487">
        <w:rPr>
          <w:rFonts w:ascii="Times New Roman" w:hAnsi="Times New Roman"/>
          <w:color w:val="252525"/>
        </w:rPr>
        <w:t xml:space="preserve">“eligible entity” </w:t>
      </w:r>
      <w:r w:rsidR="00B73941" w:rsidRPr="00B12487">
        <w:rPr>
          <w:rFonts w:ascii="Times New Roman" w:hAnsi="Times New Roman"/>
          <w:color w:val="252525"/>
        </w:rPr>
        <w:t>assignee acquiring</w:t>
      </w:r>
      <w:r w:rsidRPr="00B12487">
        <w:rPr>
          <w:rFonts w:ascii="Times New Roman" w:hAnsi="Times New Roman"/>
          <w:color w:val="252525"/>
        </w:rPr>
        <w:t xml:space="preserve"> </w:t>
      </w:r>
      <w:r w:rsidR="00D37C49" w:rsidRPr="00B12487">
        <w:rPr>
          <w:rFonts w:ascii="Times New Roman" w:hAnsi="Times New Roman"/>
          <w:color w:val="252525"/>
        </w:rPr>
        <w:t>an</w:t>
      </w:r>
      <w:r w:rsidRPr="00B12487">
        <w:rPr>
          <w:rFonts w:ascii="Times New Roman" w:hAnsi="Times New Roman"/>
          <w:color w:val="252525"/>
        </w:rPr>
        <w:t xml:space="preserve"> outstanding construction permit</w:t>
      </w:r>
      <w:r w:rsidR="00D37C49" w:rsidRPr="00B12487">
        <w:rPr>
          <w:rFonts w:ascii="Times New Roman" w:hAnsi="Times New Roman"/>
          <w:color w:val="252525"/>
        </w:rPr>
        <w:t>.</w:t>
      </w:r>
      <w:r w:rsidR="00E8523F">
        <w:rPr>
          <w:rStyle w:val="FootnoteReference"/>
          <w:rFonts w:ascii="Times New Roman" w:hAnsi="Times New Roman"/>
          <w:color w:val="252525"/>
        </w:rPr>
        <w:footnoteReference w:id="23"/>
      </w:r>
    </w:p>
    <w:p w:rsidR="009B704F" w:rsidRDefault="009B704F" w:rsidP="006B7759">
      <w:pPr>
        <w:pStyle w:val="NoSpacing"/>
        <w:ind w:firstLine="720"/>
        <w:rPr>
          <w:rFonts w:ascii="Times New Roman" w:hAnsi="Times New Roman"/>
          <w:color w:val="252525"/>
        </w:rPr>
      </w:pPr>
    </w:p>
    <w:p w:rsidR="00BD7D5E" w:rsidRPr="006131B7" w:rsidRDefault="009B704F" w:rsidP="006B7759">
      <w:pPr>
        <w:pStyle w:val="NoSpacing"/>
        <w:ind w:firstLine="720"/>
        <w:rPr>
          <w:rFonts w:ascii="Times New Roman" w:hAnsi="Times New Roman"/>
          <w:color w:val="252525"/>
        </w:rPr>
      </w:pPr>
      <w:r>
        <w:rPr>
          <w:rFonts w:ascii="Times New Roman" w:hAnsi="Times New Roman"/>
          <w:color w:val="252525"/>
        </w:rPr>
        <w:t xml:space="preserve">For the foregoing reasons, </w:t>
      </w:r>
      <w:r w:rsidRPr="005F4E5E">
        <w:rPr>
          <w:rFonts w:ascii="Times New Roman" w:hAnsi="Times New Roman"/>
          <w:color w:val="252525"/>
        </w:rPr>
        <w:t>Moates</w:t>
      </w:r>
      <w:r>
        <w:rPr>
          <w:rFonts w:ascii="Times New Roman" w:hAnsi="Times New Roman"/>
          <w:color w:val="252525"/>
        </w:rPr>
        <w:t xml:space="preserve"> has not</w:t>
      </w:r>
      <w:r w:rsidR="00FF5918">
        <w:rPr>
          <w:rFonts w:ascii="Times New Roman" w:hAnsi="Times New Roman"/>
          <w:color w:val="252525"/>
        </w:rPr>
        <w:t xml:space="preserve"> demonstrated good cause to</w:t>
      </w:r>
      <w:r>
        <w:rPr>
          <w:rFonts w:ascii="Times New Roman" w:hAnsi="Times New Roman"/>
          <w:color w:val="252525"/>
        </w:rPr>
        <w:t xml:space="preserve"> justif</w:t>
      </w:r>
      <w:r w:rsidR="00FF5918">
        <w:rPr>
          <w:rFonts w:ascii="Times New Roman" w:hAnsi="Times New Roman"/>
          <w:color w:val="252525"/>
        </w:rPr>
        <w:t>y</w:t>
      </w:r>
      <w:r>
        <w:rPr>
          <w:rFonts w:ascii="Times New Roman" w:hAnsi="Times New Roman"/>
          <w:color w:val="252525"/>
        </w:rPr>
        <w:t xml:space="preserve"> a waiver of the </w:t>
      </w:r>
      <w:r w:rsidR="002D6549">
        <w:rPr>
          <w:rFonts w:ascii="Times New Roman" w:hAnsi="Times New Roman"/>
          <w:color w:val="252525"/>
        </w:rPr>
        <w:t>Commission’s Rules</w:t>
      </w:r>
      <w:r>
        <w:rPr>
          <w:rFonts w:ascii="Times New Roman" w:hAnsi="Times New Roman"/>
          <w:color w:val="252525"/>
        </w:rPr>
        <w:t xml:space="preserve"> governing timely construction of broadcast stations</w:t>
      </w:r>
      <w:r w:rsidR="00BD7D5E">
        <w:rPr>
          <w:rFonts w:ascii="Times New Roman" w:hAnsi="Times New Roman"/>
          <w:color w:val="252525"/>
        </w:rPr>
        <w:t xml:space="preserve">. </w:t>
      </w:r>
    </w:p>
    <w:p w:rsidR="00BD7D5E" w:rsidRDefault="00BD7D5E" w:rsidP="00BD7D5E">
      <w:pPr>
        <w:pStyle w:val="NoSpacing"/>
        <w:rPr>
          <w:rFonts w:ascii="Times New Roman" w:hAnsi="Times New Roman"/>
          <w:b/>
        </w:rPr>
      </w:pPr>
    </w:p>
    <w:p w:rsidR="00BD7D5E" w:rsidRPr="00F55063" w:rsidRDefault="00BD7D5E" w:rsidP="00BD7D5E">
      <w:pPr>
        <w:pStyle w:val="NoSpacing"/>
        <w:ind w:firstLine="720"/>
        <w:rPr>
          <w:rFonts w:ascii="Times New Roman" w:hAnsi="Times New Roman"/>
        </w:rPr>
      </w:pPr>
      <w:r>
        <w:rPr>
          <w:rFonts w:ascii="Times New Roman" w:hAnsi="Times New Roman"/>
          <w:b/>
        </w:rPr>
        <w:t>Conclusions/Actions.</w:t>
      </w:r>
      <w:r>
        <w:rPr>
          <w:rFonts w:ascii="Times New Roman" w:hAnsi="Times New Roman"/>
        </w:rPr>
        <w:t xml:space="preserve">  Accordingly, IT IS ORDERED that the Petition for Reconsideration filed on December 10, 2007</w:t>
      </w:r>
      <w:r w:rsidR="00DD3FF7">
        <w:rPr>
          <w:rFonts w:ascii="Times New Roman" w:hAnsi="Times New Roman"/>
        </w:rPr>
        <w:t>,</w:t>
      </w:r>
      <w:r>
        <w:rPr>
          <w:rFonts w:ascii="Times New Roman" w:hAnsi="Times New Roman"/>
        </w:rPr>
        <w:t xml:space="preserve"> IS DISMISSED and, when treated as a request for waiver, IS DENIED. </w:t>
      </w:r>
    </w:p>
    <w:p w:rsidR="00BD7D5E" w:rsidRDefault="00BD7D5E" w:rsidP="00BD7D5E">
      <w:pPr>
        <w:ind w:left="5040" w:firstLine="720"/>
        <w:jc w:val="both"/>
        <w:rPr>
          <w:sz w:val="22"/>
          <w:szCs w:val="22"/>
        </w:rPr>
      </w:pPr>
    </w:p>
    <w:p w:rsidR="00BD7D5E" w:rsidRDefault="00BD7D5E" w:rsidP="00BD7D5E">
      <w:pPr>
        <w:ind w:left="5040" w:firstLine="720"/>
        <w:jc w:val="both"/>
        <w:rPr>
          <w:sz w:val="22"/>
          <w:szCs w:val="22"/>
        </w:rPr>
      </w:pPr>
      <w:r>
        <w:rPr>
          <w:sz w:val="22"/>
          <w:szCs w:val="22"/>
        </w:rPr>
        <w:t>Sincerely,</w:t>
      </w:r>
    </w:p>
    <w:p w:rsidR="00BD7D5E" w:rsidRDefault="00BD7D5E" w:rsidP="00BD7D5E">
      <w:pPr>
        <w:ind w:left="5760"/>
        <w:jc w:val="both"/>
        <w:rPr>
          <w:sz w:val="22"/>
          <w:szCs w:val="22"/>
        </w:rPr>
      </w:pPr>
    </w:p>
    <w:p w:rsidR="00BD7D5E" w:rsidRDefault="00BD7D5E" w:rsidP="00BD7D5E">
      <w:pPr>
        <w:ind w:left="5760"/>
        <w:jc w:val="both"/>
        <w:rPr>
          <w:sz w:val="22"/>
          <w:szCs w:val="22"/>
        </w:rPr>
      </w:pPr>
    </w:p>
    <w:p w:rsidR="00BD7D5E" w:rsidRDefault="00BD7D5E" w:rsidP="00BD7D5E">
      <w:pPr>
        <w:jc w:val="both"/>
        <w:rPr>
          <w:sz w:val="22"/>
          <w:szCs w:val="22"/>
        </w:rPr>
      </w:pPr>
    </w:p>
    <w:p w:rsidR="00BD7D5E" w:rsidRDefault="00BD7D5E" w:rsidP="00BD7D5E">
      <w:pPr>
        <w:ind w:left="5760"/>
        <w:jc w:val="both"/>
        <w:rPr>
          <w:sz w:val="22"/>
          <w:szCs w:val="22"/>
        </w:rPr>
      </w:pPr>
      <w:r>
        <w:rPr>
          <w:sz w:val="22"/>
          <w:szCs w:val="22"/>
        </w:rPr>
        <w:t>Peter H. Doyle</w:t>
      </w:r>
    </w:p>
    <w:p w:rsidR="00BD7D5E" w:rsidRDefault="00BD7D5E" w:rsidP="00BD7D5E">
      <w:pPr>
        <w:ind w:left="5760"/>
        <w:jc w:val="both"/>
        <w:rPr>
          <w:sz w:val="22"/>
          <w:szCs w:val="22"/>
        </w:rPr>
      </w:pPr>
      <w:r>
        <w:rPr>
          <w:sz w:val="22"/>
          <w:szCs w:val="22"/>
        </w:rPr>
        <w:t>Chief, Audio Division</w:t>
      </w:r>
    </w:p>
    <w:p w:rsidR="00B73941" w:rsidRPr="00201DF1" w:rsidRDefault="00BD7D5E" w:rsidP="00087DD3">
      <w:pPr>
        <w:ind w:left="5760"/>
        <w:jc w:val="both"/>
        <w:rPr>
          <w:sz w:val="22"/>
          <w:szCs w:val="22"/>
        </w:rPr>
      </w:pPr>
      <w:r>
        <w:rPr>
          <w:sz w:val="22"/>
          <w:szCs w:val="22"/>
        </w:rPr>
        <w:t>Media Bureau</w:t>
      </w:r>
    </w:p>
    <w:sectPr w:rsidR="00B73941" w:rsidRPr="00201DF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07D" w:rsidRDefault="00D4107D" w:rsidP="00BD7D5E">
      <w:r>
        <w:separator/>
      </w:r>
    </w:p>
  </w:endnote>
  <w:endnote w:type="continuationSeparator" w:id="0">
    <w:p w:rsidR="00D4107D" w:rsidRDefault="00D4107D" w:rsidP="00BD7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8B3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C544E" w:rsidRDefault="00D119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8B38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96F">
      <w:rPr>
        <w:rStyle w:val="PageNumber"/>
        <w:noProof/>
      </w:rPr>
      <w:t>2</w:t>
    </w:r>
    <w:r>
      <w:rPr>
        <w:rStyle w:val="PageNumber"/>
      </w:rPr>
      <w:fldChar w:fldCharType="end"/>
    </w:r>
  </w:p>
  <w:p w:rsidR="003C544E" w:rsidRDefault="00D119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29" w:rsidRDefault="003E56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07D" w:rsidRDefault="00D4107D" w:rsidP="00BD7D5E">
      <w:r>
        <w:separator/>
      </w:r>
    </w:p>
  </w:footnote>
  <w:footnote w:type="continuationSeparator" w:id="0">
    <w:p w:rsidR="00D4107D" w:rsidRDefault="00D4107D" w:rsidP="00BD7D5E">
      <w:r>
        <w:continuationSeparator/>
      </w:r>
    </w:p>
  </w:footnote>
  <w:footnote w:id="1">
    <w:p w:rsidR="00BD7D5E" w:rsidRDefault="00BD7D5E" w:rsidP="00BD7D5E">
      <w:pPr>
        <w:pStyle w:val="FootnoteText"/>
        <w:spacing w:after="120"/>
      </w:pPr>
      <w:r>
        <w:rPr>
          <w:rStyle w:val="FootnoteReference"/>
        </w:rPr>
        <w:footnoteRef/>
      </w:r>
      <w:r w:rsidR="00F40708">
        <w:rPr>
          <w:i/>
        </w:rPr>
        <w:t>See B</w:t>
      </w:r>
      <w:r w:rsidR="00497613">
        <w:rPr>
          <w:i/>
        </w:rPr>
        <w:t>roadcast Actions</w:t>
      </w:r>
      <w:r w:rsidR="00497613">
        <w:t>, Public Notice, Report No. 45861 (</w:t>
      </w:r>
      <w:r w:rsidR="009411CA">
        <w:t xml:space="preserve">MB </w:t>
      </w:r>
      <w:r w:rsidR="00497613">
        <w:t>Nov. 15, 2004).</w:t>
      </w:r>
    </w:p>
  </w:footnote>
  <w:footnote w:id="2">
    <w:p w:rsidR="00BD7D5E" w:rsidRDefault="00BD7D5E" w:rsidP="00BD7D5E">
      <w:pPr>
        <w:pStyle w:val="FootnoteText"/>
        <w:spacing w:after="120"/>
      </w:pPr>
      <w:r>
        <w:rPr>
          <w:rStyle w:val="FootnoteReference"/>
        </w:rPr>
        <w:footnoteRef/>
      </w:r>
      <w:r>
        <w:t xml:space="preserve"> </w:t>
      </w:r>
      <w:r w:rsidR="00DF1294">
        <w:rPr>
          <w:i/>
        </w:rPr>
        <w:t xml:space="preserve">See </w:t>
      </w:r>
      <w:r w:rsidRPr="000341E7">
        <w:rPr>
          <w:i/>
        </w:rPr>
        <w:t>Amendment of Service and Eligibility Rules for FM Broadcast Translator Stations</w:t>
      </w:r>
      <w:r>
        <w:t xml:space="preserve">, Notice of Proposed Rulemaking, </w:t>
      </w:r>
      <w:r w:rsidR="00D0150C">
        <w:t>22 FCC Rcd 15890</w:t>
      </w:r>
      <w:r>
        <w:t xml:space="preserve"> (2007)</w:t>
      </w:r>
      <w:r w:rsidR="00DF1294">
        <w:t xml:space="preserve"> (“</w:t>
      </w:r>
      <w:r w:rsidR="00DF1294">
        <w:rPr>
          <w:i/>
        </w:rPr>
        <w:t>Translator NPRM</w:t>
      </w:r>
      <w:r w:rsidR="00DF1294">
        <w:t>”)</w:t>
      </w:r>
      <w:r>
        <w:t>.</w:t>
      </w:r>
    </w:p>
  </w:footnote>
  <w:footnote w:id="3">
    <w:p w:rsidR="00BD7D5E" w:rsidRDefault="00BD7D5E" w:rsidP="00BD7D5E">
      <w:pPr>
        <w:pStyle w:val="FootnoteText"/>
        <w:spacing w:after="120"/>
      </w:pPr>
      <w:r>
        <w:rPr>
          <w:rStyle w:val="FootnoteReference"/>
        </w:rPr>
        <w:footnoteRef/>
      </w:r>
      <w:r>
        <w:t xml:space="preserve"> Petition at 1.</w:t>
      </w:r>
    </w:p>
  </w:footnote>
  <w:footnote w:id="4">
    <w:p w:rsidR="00BD7D5E" w:rsidRDefault="00BD7D5E" w:rsidP="00BD7D5E">
      <w:pPr>
        <w:pStyle w:val="FootnoteText"/>
        <w:spacing w:after="120"/>
      </w:pPr>
      <w:r>
        <w:rPr>
          <w:rStyle w:val="FootnoteReference"/>
        </w:rPr>
        <w:footnoteRef/>
      </w:r>
      <w:r>
        <w:t xml:space="preserve"> </w:t>
      </w:r>
      <w:r w:rsidR="004C3F50" w:rsidRPr="004C3F50">
        <w:rPr>
          <w:i/>
        </w:rPr>
        <w:t>Id</w:t>
      </w:r>
      <w:r w:rsidRPr="004C3F50">
        <w:rPr>
          <w:i/>
        </w:rPr>
        <w:t>.</w:t>
      </w:r>
    </w:p>
  </w:footnote>
  <w:footnote w:id="5">
    <w:p w:rsidR="00BD7D5E" w:rsidRPr="00E05179" w:rsidRDefault="00BD7D5E" w:rsidP="00BD7D5E">
      <w:pPr>
        <w:pStyle w:val="FootnoteText"/>
        <w:spacing w:after="120"/>
      </w:pPr>
      <w:r>
        <w:rPr>
          <w:rStyle w:val="FootnoteReference"/>
        </w:rPr>
        <w:footnoteRef/>
      </w:r>
      <w:r>
        <w:t xml:space="preserve"> Petition at 1-2.  The rulemaking has concluded since the Petition was filed.  </w:t>
      </w:r>
      <w:r>
        <w:rPr>
          <w:i/>
        </w:rPr>
        <w:t>See Amendment of Service and Eligibility Rules for FM Broadcast Translator Stations</w:t>
      </w:r>
      <w:r>
        <w:t xml:space="preserve">, Report and Order, </w:t>
      </w:r>
      <w:r w:rsidR="00D0150C">
        <w:t>24 FCC Rcd 9462</w:t>
      </w:r>
      <w:r>
        <w:t xml:space="preserve"> (2009) (“</w:t>
      </w:r>
      <w:r w:rsidRPr="007C6274">
        <w:rPr>
          <w:i/>
        </w:rPr>
        <w:t>Translator Rulemaking Order</w:t>
      </w:r>
      <w:r>
        <w:t>”)</w:t>
      </w:r>
      <w:r w:rsidR="0043405C">
        <w:t xml:space="preserve">, </w:t>
      </w:r>
      <w:r w:rsidR="0043405C" w:rsidRPr="00FF03D7">
        <w:rPr>
          <w:i/>
        </w:rPr>
        <w:t>modified</w:t>
      </w:r>
      <w:r w:rsidR="0043405C">
        <w:t>, 27 FCC Rcd 3364, 3394-95 (2012).</w:t>
      </w:r>
    </w:p>
  </w:footnote>
  <w:footnote w:id="6">
    <w:p w:rsidR="00BD7D5E" w:rsidRDefault="00BD7D5E" w:rsidP="00BD7D5E">
      <w:pPr>
        <w:pStyle w:val="FootnoteText"/>
        <w:spacing w:after="120"/>
      </w:pPr>
      <w:r>
        <w:rPr>
          <w:rStyle w:val="FootnoteReference"/>
        </w:rPr>
        <w:footnoteRef/>
      </w:r>
      <w:r>
        <w:t xml:space="preserve"> 47 C.F.R. § 1.106; </w:t>
      </w:r>
      <w:r w:rsidRPr="000341E7">
        <w:rPr>
          <w:i/>
        </w:rPr>
        <w:t>WWIZ, Inc.</w:t>
      </w:r>
      <w:r>
        <w:t xml:space="preserve">, Memorandum Opinion and Order, 37 FCC 685, 686 (1964), </w:t>
      </w:r>
      <w:r w:rsidRPr="000341E7">
        <w:rPr>
          <w:i/>
        </w:rPr>
        <w:t>aff’d su</w:t>
      </w:r>
      <w:r w:rsidR="0043405C">
        <w:rPr>
          <w:i/>
        </w:rPr>
        <w:t>b</w:t>
      </w:r>
      <w:r w:rsidRPr="000341E7">
        <w:rPr>
          <w:i/>
        </w:rPr>
        <w:t xml:space="preserve"> nom.</w:t>
      </w:r>
      <w:r>
        <w:t xml:space="preserve"> </w:t>
      </w:r>
      <w:r w:rsidRPr="000341E7">
        <w:rPr>
          <w:i/>
        </w:rPr>
        <w:t>Lorain Journal Co. v. FCC</w:t>
      </w:r>
      <w:r>
        <w:t xml:space="preserve">, 351 F.2d 824 (D.C. Cir. 1965), </w:t>
      </w:r>
      <w:r w:rsidRPr="000341E7">
        <w:rPr>
          <w:i/>
        </w:rPr>
        <w:t>cert. denied</w:t>
      </w:r>
      <w:r>
        <w:t>, 387 U.S. 967 (1966).</w:t>
      </w:r>
    </w:p>
  </w:footnote>
  <w:footnote w:id="7">
    <w:p w:rsidR="00BD7D5E" w:rsidRPr="00026BBC" w:rsidRDefault="00BD7D5E" w:rsidP="00BD7D5E">
      <w:pPr>
        <w:pStyle w:val="FootnoteText"/>
        <w:spacing w:after="120"/>
        <w:rPr>
          <w:i/>
        </w:rPr>
      </w:pPr>
      <w:r>
        <w:rPr>
          <w:rStyle w:val="FootnoteReference"/>
        </w:rPr>
        <w:footnoteRef/>
      </w:r>
      <w:r>
        <w:t xml:space="preserve"> 47 C.F.R. § 73.3598(e).</w:t>
      </w:r>
    </w:p>
  </w:footnote>
  <w:footnote w:id="8">
    <w:p w:rsidR="00DF1294" w:rsidRDefault="00DF1294" w:rsidP="00433B63">
      <w:pPr>
        <w:pStyle w:val="FootnoteText"/>
        <w:spacing w:after="120"/>
      </w:pPr>
      <w:r>
        <w:rPr>
          <w:rStyle w:val="FootnoteReference"/>
        </w:rPr>
        <w:footnoteRef/>
      </w:r>
      <w:r>
        <w:t xml:space="preserve"> </w:t>
      </w:r>
      <w:r w:rsidRPr="005A31D7">
        <w:rPr>
          <w:i/>
        </w:rPr>
        <w:t>See, e.g.,</w:t>
      </w:r>
      <w:r>
        <w:t xml:space="preserve"> </w:t>
      </w:r>
      <w:r w:rsidRPr="00007422">
        <w:rPr>
          <w:i/>
        </w:rPr>
        <w:t>Cranesville Block Company, Inc.,</w:t>
      </w:r>
      <w:r w:rsidRPr="00007422">
        <w:t xml:space="preserve"> Letter, 27 FCC Rcd 2018, 2019 (MB 2012) (ministerial steps of marking construction permit as cancelled and deleting it in the Commission’s database were not Commission action</w:t>
      </w:r>
      <w:r>
        <w:t>s</w:t>
      </w:r>
      <w:r w:rsidRPr="00007422">
        <w:t xml:space="preserve">; construction permit expired by its own terms).  </w:t>
      </w:r>
    </w:p>
  </w:footnote>
  <w:footnote w:id="9">
    <w:p w:rsidR="00BD7D5E" w:rsidRDefault="00BD7D5E" w:rsidP="00BD7D5E">
      <w:pPr>
        <w:pStyle w:val="FootnoteText"/>
        <w:spacing w:after="120"/>
      </w:pPr>
      <w:r>
        <w:rPr>
          <w:rStyle w:val="FootnoteReference"/>
        </w:rPr>
        <w:footnoteRef/>
      </w:r>
      <w:r w:rsidR="00433B63">
        <w:t xml:space="preserve"> </w:t>
      </w:r>
      <w:r w:rsidR="00433B63" w:rsidRPr="00433B63">
        <w:rPr>
          <w:i/>
        </w:rPr>
        <w:t>See</w:t>
      </w:r>
      <w:r w:rsidR="00433B63">
        <w:t xml:space="preserve"> </w:t>
      </w:r>
      <w:r w:rsidR="00433B63" w:rsidRPr="00433B63">
        <w:t>47</w:t>
      </w:r>
      <w:r w:rsidR="00433B63">
        <w:t xml:space="preserve"> C.F.R. § 1.106(a)(1) (</w:t>
      </w:r>
      <w:r w:rsidR="00E2082F">
        <w:t>providing</w:t>
      </w:r>
      <w:r w:rsidR="00433B63">
        <w:t xml:space="preserve"> that </w:t>
      </w:r>
      <w:r w:rsidR="00E2082F">
        <w:t xml:space="preserve">the </w:t>
      </w:r>
      <w:r w:rsidR="00433B63">
        <w:t>Commission considers only petitions seeking reconsideration of “a final Commission action</w:t>
      </w:r>
      <w:r w:rsidR="00DE72E5">
        <w:t>”</w:t>
      </w:r>
      <w:r w:rsidR="00433B63">
        <w:t>).</w:t>
      </w:r>
    </w:p>
  </w:footnote>
  <w:footnote w:id="10">
    <w:p w:rsidR="00BD7D5E" w:rsidRPr="00A300BA" w:rsidRDefault="00BD7D5E" w:rsidP="00BD7D5E">
      <w:pPr>
        <w:pStyle w:val="FootnoteText"/>
        <w:spacing w:after="120"/>
      </w:pPr>
      <w:r>
        <w:rPr>
          <w:rStyle w:val="FootnoteReference"/>
        </w:rPr>
        <w:footnoteRef/>
      </w:r>
      <w:r>
        <w:t xml:space="preserve"> </w:t>
      </w:r>
      <w:r w:rsidRPr="00EF08A6">
        <w:rPr>
          <w:i/>
        </w:rPr>
        <w:t>See, e.g.</w:t>
      </w:r>
      <w:r>
        <w:t xml:space="preserve">, </w:t>
      </w:r>
      <w:r w:rsidR="0043405C">
        <w:rPr>
          <w:i/>
        </w:rPr>
        <w:t>i</w:t>
      </w:r>
      <w:r>
        <w:rPr>
          <w:i/>
        </w:rPr>
        <w:t>d</w:t>
      </w:r>
      <w:r w:rsidRPr="00007422">
        <w:rPr>
          <w:i/>
        </w:rPr>
        <w:t>.</w:t>
      </w:r>
      <w:r>
        <w:t xml:space="preserve"> at 2020 (considering a procedurally defective petition for reconsideration as a waiver request); </w:t>
      </w:r>
      <w:r w:rsidRPr="002F4538">
        <w:rPr>
          <w:i/>
        </w:rPr>
        <w:t>Three</w:t>
      </w:r>
      <w:r>
        <w:rPr>
          <w:i/>
        </w:rPr>
        <w:t xml:space="preserve"> Eagles of Lincoln, Inc.</w:t>
      </w:r>
      <w:r>
        <w:t>, Letter, 24 FCC Rcd 13483, 13485 (MB 2009) (denying a petition for reconsideration as procedurally defective and also denying the petition when considered as a request for a waiver).</w:t>
      </w:r>
    </w:p>
  </w:footnote>
  <w:footnote w:id="11">
    <w:p w:rsidR="00BD7D5E" w:rsidRDefault="00BD7D5E" w:rsidP="00BD7D5E">
      <w:pPr>
        <w:pStyle w:val="FootnoteText"/>
        <w:spacing w:after="120"/>
      </w:pPr>
      <w:r>
        <w:rPr>
          <w:rStyle w:val="FootnoteReference"/>
        </w:rPr>
        <w:footnoteRef/>
      </w:r>
      <w:r>
        <w:t xml:space="preserve"> 47 C.F.R. § 1.3.</w:t>
      </w:r>
    </w:p>
  </w:footnote>
  <w:footnote w:id="12">
    <w:p w:rsidR="00BD7D5E" w:rsidRDefault="00BD7D5E" w:rsidP="00BD7D5E">
      <w:pPr>
        <w:pStyle w:val="FootnoteText"/>
        <w:spacing w:after="120"/>
      </w:pPr>
      <w:r>
        <w:rPr>
          <w:rStyle w:val="FootnoteReference"/>
        </w:rPr>
        <w:footnoteRef/>
      </w:r>
      <w:r>
        <w:t xml:space="preserve"> </w:t>
      </w:r>
      <w:r w:rsidRPr="000341E7">
        <w:rPr>
          <w:i/>
        </w:rPr>
        <w:t>NetworkIP, LLC v. FCC</w:t>
      </w:r>
      <w:r>
        <w:t>, 548 F.3d 116, 125-28 (D.C. Cir. 2008) (“</w:t>
      </w:r>
      <w:r>
        <w:rPr>
          <w:i/>
        </w:rPr>
        <w:t>NetworkIP</w:t>
      </w:r>
      <w:r>
        <w:t xml:space="preserve">”); </w:t>
      </w:r>
      <w:r>
        <w:rPr>
          <w:i/>
        </w:rPr>
        <w:t>Northeast Cellular Telephone Co. v. FCC</w:t>
      </w:r>
      <w:r>
        <w:t>, 897 F.2d 1164, 1166 (D.C. Cir. 1990).</w:t>
      </w:r>
    </w:p>
  </w:footnote>
  <w:footnote w:id="13">
    <w:p w:rsidR="00BD7D5E" w:rsidRDefault="00BD7D5E" w:rsidP="00BD7D5E">
      <w:pPr>
        <w:pStyle w:val="FootnoteText"/>
        <w:spacing w:after="120"/>
      </w:pPr>
      <w:r>
        <w:rPr>
          <w:rStyle w:val="FootnoteReference"/>
        </w:rPr>
        <w:footnoteRef/>
      </w:r>
      <w:r>
        <w:t xml:space="preserve"> </w:t>
      </w:r>
      <w:r w:rsidRPr="000341E7">
        <w:rPr>
          <w:i/>
        </w:rPr>
        <w:t>1998 Biennial Regulatory Review – Streamlining of Mass Media Applications, Rules and Processes</w:t>
      </w:r>
      <w:r>
        <w:t>, Memorandum Opinion and Order, 14 FCC Rcd 17525, 17541 (1999).</w:t>
      </w:r>
    </w:p>
  </w:footnote>
  <w:footnote w:id="14">
    <w:p w:rsidR="00BD7D5E" w:rsidRDefault="00BD7D5E" w:rsidP="00BD7D5E">
      <w:pPr>
        <w:pStyle w:val="FootnoteText"/>
        <w:spacing w:after="120"/>
      </w:pPr>
      <w:r>
        <w:rPr>
          <w:rStyle w:val="FootnoteReference"/>
        </w:rPr>
        <w:footnoteRef/>
      </w:r>
      <w:r>
        <w:t xml:space="preserve"> </w:t>
      </w:r>
      <w:r w:rsidRPr="000341E7">
        <w:rPr>
          <w:i/>
        </w:rPr>
        <w:t>See</w:t>
      </w:r>
      <w:r>
        <w:t xml:space="preserve"> </w:t>
      </w:r>
      <w:r w:rsidRPr="000341E7">
        <w:rPr>
          <w:i/>
        </w:rPr>
        <w:t>New Orleans Channel 20, Inc., v. FCC</w:t>
      </w:r>
      <w:r>
        <w:t xml:space="preserve">, 830 F.2d 361, 365-66 (D.C. Cir. 1987) (stating that “so long as the agency does not display evident disregard for its precedents, no violation occurs” when the agency refuses to exercise its discretion </w:t>
      </w:r>
      <w:r w:rsidR="008E735D">
        <w:t>and denies</w:t>
      </w:r>
      <w:r>
        <w:t xml:space="preserve"> a waiver request).</w:t>
      </w:r>
    </w:p>
  </w:footnote>
  <w:footnote w:id="15">
    <w:p w:rsidR="00BD7D5E" w:rsidRPr="00D016AB" w:rsidRDefault="00BD7D5E" w:rsidP="008629C7">
      <w:pPr>
        <w:pStyle w:val="FootnoteText"/>
        <w:spacing w:after="120"/>
        <w:rPr>
          <w:color w:val="252525"/>
        </w:rPr>
      </w:pPr>
      <w:r>
        <w:rPr>
          <w:rStyle w:val="FootnoteReference"/>
        </w:rPr>
        <w:footnoteRef/>
      </w:r>
      <w:r>
        <w:t xml:space="preserve"> </w:t>
      </w:r>
      <w:r>
        <w:rPr>
          <w:color w:val="252525"/>
        </w:rPr>
        <w:t xml:space="preserve">The </w:t>
      </w:r>
      <w:r w:rsidR="00D016AB">
        <w:rPr>
          <w:color w:val="252525"/>
        </w:rPr>
        <w:t>comment period</w:t>
      </w:r>
      <w:r>
        <w:rPr>
          <w:color w:val="252525"/>
        </w:rPr>
        <w:t xml:space="preserve"> </w:t>
      </w:r>
      <w:r w:rsidR="008E735D">
        <w:rPr>
          <w:color w:val="252525"/>
        </w:rPr>
        <w:t xml:space="preserve">for the </w:t>
      </w:r>
      <w:r w:rsidR="008E735D">
        <w:rPr>
          <w:i/>
          <w:color w:val="252525"/>
        </w:rPr>
        <w:t xml:space="preserve">Translator NPRM </w:t>
      </w:r>
      <w:r w:rsidR="00B93087">
        <w:rPr>
          <w:color w:val="252525"/>
        </w:rPr>
        <w:t>ended</w:t>
      </w:r>
      <w:r>
        <w:rPr>
          <w:color w:val="252525"/>
        </w:rPr>
        <w:t xml:space="preserve"> </w:t>
      </w:r>
      <w:r w:rsidR="008E735D">
        <w:rPr>
          <w:color w:val="252525"/>
        </w:rPr>
        <w:t xml:space="preserve">on </w:t>
      </w:r>
      <w:r>
        <w:rPr>
          <w:color w:val="252525"/>
        </w:rPr>
        <w:t xml:space="preserve">January 7, 2008, after Moates’s construction permit had expired as a matter of law.  </w:t>
      </w:r>
      <w:r w:rsidR="00D96FBE">
        <w:rPr>
          <w:i/>
          <w:color w:val="252525"/>
        </w:rPr>
        <w:t>See M</w:t>
      </w:r>
      <w:r w:rsidRPr="00803D02">
        <w:rPr>
          <w:i/>
          <w:color w:val="252525"/>
        </w:rPr>
        <w:t>edia Bureau Announces Comment and Reply Comment Dates for the Notice of Proposed Rulemaking Regarding Amendment of Service and Eligibility Rules for FM Broadcast Translator Stations</w:t>
      </w:r>
      <w:r>
        <w:rPr>
          <w:color w:val="252525"/>
        </w:rPr>
        <w:t>, Public Notice, 22 FCC Rcd 19442 (2007).</w:t>
      </w:r>
      <w:r w:rsidR="00B074C8">
        <w:rPr>
          <w:color w:val="252525"/>
        </w:rPr>
        <w:t xml:space="preserve"> </w:t>
      </w:r>
      <w:r w:rsidR="00AD53E4">
        <w:rPr>
          <w:color w:val="252525"/>
        </w:rPr>
        <w:t xml:space="preserve">  Moates’s claim about delay in the rulemaking is unsupported.</w:t>
      </w:r>
      <w:r w:rsidR="00B074C8">
        <w:rPr>
          <w:color w:val="252525"/>
        </w:rPr>
        <w:t xml:space="preserve"> </w:t>
      </w:r>
    </w:p>
  </w:footnote>
  <w:footnote w:id="16">
    <w:p w:rsidR="00BD7D5E" w:rsidRDefault="00BD7D5E" w:rsidP="008629C7">
      <w:pPr>
        <w:pStyle w:val="FootnoteText"/>
        <w:spacing w:after="120"/>
      </w:pPr>
      <w:r>
        <w:rPr>
          <w:rStyle w:val="FootnoteReference"/>
        </w:rPr>
        <w:footnoteRef/>
      </w:r>
      <w:r>
        <w:t xml:space="preserve"> </w:t>
      </w:r>
      <w:r w:rsidRPr="000341E7">
        <w:rPr>
          <w:i/>
        </w:rPr>
        <w:t>See, e.g.</w:t>
      </w:r>
      <w:r>
        <w:t xml:space="preserve">, </w:t>
      </w:r>
      <w:r w:rsidRPr="000341E7">
        <w:rPr>
          <w:i/>
        </w:rPr>
        <w:t>Atlanta Area Broadcasting, Inc.</w:t>
      </w:r>
      <w:r>
        <w:t xml:space="preserve">, Letter, 18 FCC Rcd 5034 (MB 2003) (granting a waiver of the three-year construction period when a government entity acquired an authorized broadcast transmitter site through exercise of its condemnation powers);  </w:t>
      </w:r>
      <w:r w:rsidRPr="000341E7">
        <w:rPr>
          <w:i/>
        </w:rPr>
        <w:t>Texas Grace Communications</w:t>
      </w:r>
      <w:r>
        <w:t xml:space="preserve">, Memorandum Opinion and Order, 16 FCC Rcd 19167 (2001) (waiving Section 73.3598(a) </w:t>
      </w:r>
      <w:r w:rsidRPr="000A7EDE">
        <w:rPr>
          <w:i/>
        </w:rPr>
        <w:t>sua sponte</w:t>
      </w:r>
      <w:r>
        <w:t xml:space="preserve"> as a result of perceived lack of clarity caused by the Commission itself with respect to whether a facility change coupled with a community of license change is sufficient to warrant tolling of the construction period).  </w:t>
      </w:r>
      <w:r w:rsidRPr="007140AC">
        <w:rPr>
          <w:i/>
        </w:rPr>
        <w:t>Compare to</w:t>
      </w:r>
      <w:r>
        <w:t xml:space="preserve"> </w:t>
      </w:r>
      <w:r>
        <w:rPr>
          <w:i/>
        </w:rPr>
        <w:t>Steven Wendell</w:t>
      </w:r>
      <w:r>
        <w:t xml:space="preserve">, Letter, 24 FCC Rcd 11809 (MB 2009) (rejecting a permittee’s request for a waiver of construction deadline because the inability to timely construct was rooted in the permittee’s own error in selecting a site on which a proposed tower array could not be built);  </w:t>
      </w:r>
      <w:r>
        <w:rPr>
          <w:i/>
        </w:rPr>
        <w:t>KSBN Radio, Inc. Winchester, Nevada</w:t>
      </w:r>
      <w:r>
        <w:t>, Memorandum Opinion and Order, 19 FCC Rcd 20162, 20167 (2004) (affirming the staff’s denial of a waiver request when the permittee learned of a troublesome local zoning ordinance and did not try to resolve the problem in a manner consistent with Commission requirements).</w:t>
      </w:r>
    </w:p>
  </w:footnote>
  <w:footnote w:id="17">
    <w:p w:rsidR="00BD7D5E" w:rsidRPr="006131B7" w:rsidRDefault="00BD7D5E" w:rsidP="00BD7D5E">
      <w:pPr>
        <w:pStyle w:val="FootnoteText"/>
        <w:spacing w:after="120"/>
      </w:pPr>
      <w:r>
        <w:rPr>
          <w:rStyle w:val="FootnoteReference"/>
        </w:rPr>
        <w:footnoteRef/>
      </w:r>
      <w:r>
        <w:t xml:space="preserve"> </w:t>
      </w:r>
      <w:r w:rsidRPr="006131B7">
        <w:t>Petition at 2.</w:t>
      </w:r>
    </w:p>
  </w:footnote>
  <w:footnote w:id="18">
    <w:p w:rsidR="00BD7D5E" w:rsidRDefault="00BD7D5E" w:rsidP="00BD7D5E">
      <w:pPr>
        <w:pStyle w:val="FootnoteText"/>
        <w:spacing w:after="120"/>
      </w:pPr>
      <w:r>
        <w:rPr>
          <w:rStyle w:val="FootnoteReference"/>
        </w:rPr>
        <w:footnoteRef/>
      </w:r>
      <w:r>
        <w:t xml:space="preserve"> </w:t>
      </w:r>
      <w:r w:rsidRPr="006B61FC">
        <w:rPr>
          <w:i/>
        </w:rPr>
        <w:t>Promoting Diversification of Ownership in the Broadcast Services</w:t>
      </w:r>
      <w:r w:rsidRPr="006131B7">
        <w:t>, Report and Order and Third Further Notice of Proposed Rulemaking, 23 FCC Rcd 5922 (2008) (“</w:t>
      </w:r>
      <w:r w:rsidRPr="00F4175F">
        <w:rPr>
          <w:i/>
        </w:rPr>
        <w:t>Diversity Order</w:t>
      </w:r>
      <w:r w:rsidRPr="006131B7">
        <w:t xml:space="preserve">”). </w:t>
      </w:r>
    </w:p>
  </w:footnote>
  <w:footnote w:id="19">
    <w:p w:rsidR="00BD7D5E" w:rsidRPr="00B637C7" w:rsidRDefault="00BD7D5E" w:rsidP="00BD7D5E">
      <w:pPr>
        <w:pStyle w:val="FootnoteText"/>
        <w:spacing w:after="120"/>
      </w:pPr>
      <w:r>
        <w:rPr>
          <w:rStyle w:val="FootnoteReference"/>
        </w:rPr>
        <w:footnoteRef/>
      </w:r>
      <w:r>
        <w:t xml:space="preserve"> </w:t>
      </w:r>
      <w:r w:rsidRPr="00F4175F">
        <w:rPr>
          <w:i/>
        </w:rPr>
        <w:t>Diversity Order</w:t>
      </w:r>
      <w:r>
        <w:t>, 23 FCC Rcd at 5930.</w:t>
      </w:r>
      <w:r w:rsidR="00670328">
        <w:t xml:space="preserve"> </w:t>
      </w:r>
    </w:p>
  </w:footnote>
  <w:footnote w:id="20">
    <w:p w:rsidR="00BD7D5E" w:rsidRDefault="00BD7D5E" w:rsidP="00BD7D5E">
      <w:pPr>
        <w:pStyle w:val="FootnoteText"/>
        <w:spacing w:after="120"/>
      </w:pPr>
      <w:r>
        <w:rPr>
          <w:rStyle w:val="FootnoteReference"/>
        </w:rPr>
        <w:footnoteRef/>
      </w:r>
      <w:r>
        <w:t xml:space="preserve"> </w:t>
      </w:r>
      <w:r w:rsidRPr="006B61FC">
        <w:rPr>
          <w:i/>
        </w:rPr>
        <w:t>Prometheus Radio Project v. FCC</w:t>
      </w:r>
      <w:r>
        <w:t xml:space="preserve">, 652 F.3d 431, 465-71 (3rd Cir. 2011). </w:t>
      </w:r>
      <w:r>
        <w:rPr>
          <w:color w:val="252525"/>
        </w:rPr>
        <w:t>The Third Circuit determined that the Commission’s definition of “eligible entity” was arbitrary and capricious because it lacked “a sufficient analytical connection to the primary issues th[e] Order intended to address.”</w:t>
      </w:r>
      <w:r w:rsidRPr="004F593F">
        <w:rPr>
          <w:i/>
        </w:rPr>
        <w:t xml:space="preserve"> </w:t>
      </w:r>
      <w:r>
        <w:rPr>
          <w:i/>
        </w:rPr>
        <w:t>Id.</w:t>
      </w:r>
      <w:r>
        <w:t xml:space="preserve"> at 471.</w:t>
      </w:r>
      <w:r w:rsidR="00363D54">
        <w:t xml:space="preserve"> </w:t>
      </w:r>
    </w:p>
  </w:footnote>
  <w:footnote w:id="21">
    <w:p w:rsidR="00E8523F" w:rsidRDefault="00B12487" w:rsidP="00E8523F">
      <w:pPr>
        <w:pStyle w:val="FootnoteText"/>
        <w:spacing w:after="120"/>
      </w:pPr>
      <w:r>
        <w:rPr>
          <w:rStyle w:val="FootnoteReference"/>
        </w:rPr>
        <w:footnoteRef/>
      </w:r>
      <w:r>
        <w:t xml:space="preserve"> </w:t>
      </w:r>
      <w:r w:rsidR="00772ABE">
        <w:rPr>
          <w:i/>
        </w:rPr>
        <w:t xml:space="preserve">See </w:t>
      </w:r>
      <w:r w:rsidR="00772ABE" w:rsidRPr="006B61FC">
        <w:rPr>
          <w:i/>
        </w:rPr>
        <w:t>Media Bureau Provides Notice of Suspension of Eligible Entity Rule Changes and Guidance on the Assignment of Broadcast Station Construction Permits to Eligible Entities</w:t>
      </w:r>
      <w:r w:rsidR="00772ABE">
        <w:t>, Public Notice, 26 FCC Rcd 10370 (2011).</w:t>
      </w:r>
    </w:p>
  </w:footnote>
  <w:footnote w:id="22">
    <w:p w:rsidR="00B12487" w:rsidRDefault="00B12487" w:rsidP="00E8523F">
      <w:pPr>
        <w:pStyle w:val="FootnoteText"/>
        <w:spacing w:after="120"/>
      </w:pPr>
      <w:r>
        <w:rPr>
          <w:rStyle w:val="FootnoteReference"/>
        </w:rPr>
        <w:footnoteRef/>
      </w:r>
      <w:r>
        <w:t xml:space="preserve"> </w:t>
      </w:r>
      <w:r>
        <w:rPr>
          <w:i/>
        </w:rPr>
        <w:t>Id.</w:t>
      </w:r>
    </w:p>
  </w:footnote>
  <w:footnote w:id="23">
    <w:p w:rsidR="00E8523F" w:rsidRDefault="00E8523F" w:rsidP="00E8523F">
      <w:pPr>
        <w:pStyle w:val="FootnoteText"/>
        <w:spacing w:after="120"/>
      </w:pPr>
      <w:r>
        <w:rPr>
          <w:rStyle w:val="FootnoteReference"/>
        </w:rPr>
        <w:footnoteRef/>
      </w:r>
      <w:r>
        <w:t xml:space="preserve"> </w:t>
      </w:r>
      <w:r w:rsidRPr="00F4175F">
        <w:rPr>
          <w:i/>
        </w:rPr>
        <w:t>Diversity Order</w:t>
      </w:r>
      <w:r>
        <w:t>, 23 FCC Rcd at 5963.</w:t>
      </w:r>
      <w:r w:rsidRPr="00670328">
        <w:t xml:space="preserve"> </w:t>
      </w:r>
      <w:r>
        <w:t xml:space="preserve">The Rule permitted eligible entities that acquired “an issued and outstanding construction permit . . . the time remaining on the construction permit or eighteen months from the consummation of the assignment or transfer of control . . . to complete construction and file for an application for license.” </w:t>
      </w:r>
      <w:r w:rsidRPr="00F4175F">
        <w:rPr>
          <w:i/>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29" w:rsidRDefault="003E56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29" w:rsidRDefault="003E56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44E" w:rsidRDefault="00BD7D5E">
    <w:pPr>
      <w:pStyle w:val="Header"/>
      <w:tabs>
        <w:tab w:val="clear" w:pos="4320"/>
        <w:tab w:val="clear" w:pos="8640"/>
      </w:tabs>
      <w:spacing w:before="360" w:line="228" w:lineRule="auto"/>
      <w:jc w:val="center"/>
    </w:pPr>
    <w:r>
      <w:rPr>
        <w:noProof/>
      </w:rPr>
      <w:drawing>
        <wp:anchor distT="0" distB="0" distL="114300" distR="114300" simplePos="0" relativeHeight="251659264" behindDoc="0" locked="0" layoutInCell="0" allowOverlap="1">
          <wp:simplePos x="0" y="0"/>
          <wp:positionH relativeFrom="column">
            <wp:posOffset>-403860</wp:posOffset>
          </wp:positionH>
          <wp:positionV relativeFrom="paragraph">
            <wp:posOffset>0</wp:posOffset>
          </wp:positionV>
          <wp:extent cx="865505" cy="8229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8B38AF">
      <w:rPr>
        <w:rFonts w:ascii="CG Times (W1)" w:hAnsi="CG Times (W1)"/>
        <w:sz w:val="28"/>
      </w:rPr>
      <w:t>Federal Communications Commission</w:t>
    </w:r>
  </w:p>
  <w:p w:rsidR="003C544E" w:rsidRDefault="008B38AF">
    <w:pPr>
      <w:jc w:val="center"/>
    </w:pPr>
    <w:r>
      <w:rPr>
        <w:rFonts w:ascii="CG Times (W1)" w:hAnsi="CG Times (W1)"/>
        <w:sz w:val="28"/>
      </w:rPr>
      <w:t>Washington, D.C. 20554</w:t>
    </w:r>
  </w:p>
  <w:p w:rsidR="003C544E" w:rsidRDefault="00D1196F">
    <w:pPr>
      <w:pStyle w:val="Header"/>
      <w:tabs>
        <w:tab w:val="clear" w:pos="4320"/>
      </w:tabs>
      <w:jc w:val="center"/>
      <w:rPr>
        <w:sz w:val="22"/>
      </w:rPr>
    </w:pPr>
  </w:p>
  <w:p w:rsidR="003C544E" w:rsidRDefault="00D1196F">
    <w:pPr>
      <w:pStyle w:val="Header"/>
      <w:tabs>
        <w:tab w:val="clear" w:pos="4320"/>
      </w:tabs>
      <w:jc w:val="center"/>
      <w:rPr>
        <w:sz w:val="22"/>
      </w:rPr>
    </w:pPr>
  </w:p>
  <w:p w:rsidR="003C544E" w:rsidRDefault="00BE0777">
    <w:pPr>
      <w:pStyle w:val="Header"/>
      <w:tabs>
        <w:tab w:val="clear" w:pos="4320"/>
      </w:tabs>
      <w:jc w:val="center"/>
      <w:rPr>
        <w:b/>
      </w:rPr>
    </w:pPr>
    <w:r>
      <w:rPr>
        <w:b/>
      </w:rPr>
      <w:t xml:space="preserve">November </w:t>
    </w:r>
    <w:r w:rsidR="00E633EC">
      <w:rPr>
        <w:b/>
      </w:rPr>
      <w:t>15</w:t>
    </w:r>
    <w:r w:rsidR="008B38AF">
      <w:rPr>
        <w:b/>
      </w:rPr>
      <w:t>,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5E"/>
    <w:rsid w:val="00000FC4"/>
    <w:rsid w:val="00007D3D"/>
    <w:rsid w:val="000308D0"/>
    <w:rsid w:val="000320CF"/>
    <w:rsid w:val="00054000"/>
    <w:rsid w:val="00071C5C"/>
    <w:rsid w:val="00087DD3"/>
    <w:rsid w:val="00096401"/>
    <w:rsid w:val="000B622F"/>
    <w:rsid w:val="000D36E3"/>
    <w:rsid w:val="000E3EAD"/>
    <w:rsid w:val="000E3F96"/>
    <w:rsid w:val="000F7CD5"/>
    <w:rsid w:val="001070BF"/>
    <w:rsid w:val="001234EC"/>
    <w:rsid w:val="00125650"/>
    <w:rsid w:val="00135E85"/>
    <w:rsid w:val="00172233"/>
    <w:rsid w:val="001A24B5"/>
    <w:rsid w:val="001D56E6"/>
    <w:rsid w:val="001F24E3"/>
    <w:rsid w:val="00201DF1"/>
    <w:rsid w:val="00206AD4"/>
    <w:rsid w:val="00212051"/>
    <w:rsid w:val="002549E8"/>
    <w:rsid w:val="00292DB6"/>
    <w:rsid w:val="002D6549"/>
    <w:rsid w:val="002E55F2"/>
    <w:rsid w:val="00305D46"/>
    <w:rsid w:val="00306D7E"/>
    <w:rsid w:val="00315904"/>
    <w:rsid w:val="00363CA5"/>
    <w:rsid w:val="00363D54"/>
    <w:rsid w:val="00370702"/>
    <w:rsid w:val="003C34E0"/>
    <w:rsid w:val="003D6557"/>
    <w:rsid w:val="003E5629"/>
    <w:rsid w:val="003E7FD8"/>
    <w:rsid w:val="00406663"/>
    <w:rsid w:val="00433B63"/>
    <w:rsid w:val="0043405C"/>
    <w:rsid w:val="00436FCB"/>
    <w:rsid w:val="00456474"/>
    <w:rsid w:val="00457443"/>
    <w:rsid w:val="00497613"/>
    <w:rsid w:val="004B6C7C"/>
    <w:rsid w:val="004C3F50"/>
    <w:rsid w:val="004D0408"/>
    <w:rsid w:val="004E305D"/>
    <w:rsid w:val="005534B7"/>
    <w:rsid w:val="00574B90"/>
    <w:rsid w:val="005864D5"/>
    <w:rsid w:val="00596E36"/>
    <w:rsid w:val="005B6201"/>
    <w:rsid w:val="005C4D14"/>
    <w:rsid w:val="005E1E08"/>
    <w:rsid w:val="00666817"/>
    <w:rsid w:val="00670328"/>
    <w:rsid w:val="006762C4"/>
    <w:rsid w:val="00680179"/>
    <w:rsid w:val="006879A2"/>
    <w:rsid w:val="00692604"/>
    <w:rsid w:val="0069293A"/>
    <w:rsid w:val="006A5FD4"/>
    <w:rsid w:val="006B7759"/>
    <w:rsid w:val="006E2C56"/>
    <w:rsid w:val="006E42A5"/>
    <w:rsid w:val="00736DBF"/>
    <w:rsid w:val="00772ABE"/>
    <w:rsid w:val="007B0B73"/>
    <w:rsid w:val="007C4C26"/>
    <w:rsid w:val="0085072C"/>
    <w:rsid w:val="0085642A"/>
    <w:rsid w:val="008629C7"/>
    <w:rsid w:val="00866EF2"/>
    <w:rsid w:val="00887A70"/>
    <w:rsid w:val="00896727"/>
    <w:rsid w:val="00897DC8"/>
    <w:rsid w:val="008B38AF"/>
    <w:rsid w:val="008D706E"/>
    <w:rsid w:val="008E735D"/>
    <w:rsid w:val="008F621B"/>
    <w:rsid w:val="009411CA"/>
    <w:rsid w:val="00946CE2"/>
    <w:rsid w:val="00970188"/>
    <w:rsid w:val="009A5103"/>
    <w:rsid w:val="009B6981"/>
    <w:rsid w:val="009B704F"/>
    <w:rsid w:val="009D2A7E"/>
    <w:rsid w:val="00A0253A"/>
    <w:rsid w:val="00A121A6"/>
    <w:rsid w:val="00A74710"/>
    <w:rsid w:val="00AB7811"/>
    <w:rsid w:val="00AC1C9C"/>
    <w:rsid w:val="00AD53E4"/>
    <w:rsid w:val="00AE2072"/>
    <w:rsid w:val="00AF0FAE"/>
    <w:rsid w:val="00AF4D43"/>
    <w:rsid w:val="00B074C8"/>
    <w:rsid w:val="00B12487"/>
    <w:rsid w:val="00B73941"/>
    <w:rsid w:val="00B93087"/>
    <w:rsid w:val="00BB17DB"/>
    <w:rsid w:val="00BD7D5E"/>
    <w:rsid w:val="00BE0777"/>
    <w:rsid w:val="00C021F8"/>
    <w:rsid w:val="00C059CC"/>
    <w:rsid w:val="00C264C1"/>
    <w:rsid w:val="00C35323"/>
    <w:rsid w:val="00C53546"/>
    <w:rsid w:val="00C63B51"/>
    <w:rsid w:val="00CC004A"/>
    <w:rsid w:val="00CD5BDB"/>
    <w:rsid w:val="00D0150C"/>
    <w:rsid w:val="00D016AB"/>
    <w:rsid w:val="00D03316"/>
    <w:rsid w:val="00D1196F"/>
    <w:rsid w:val="00D13375"/>
    <w:rsid w:val="00D21749"/>
    <w:rsid w:val="00D22C90"/>
    <w:rsid w:val="00D33415"/>
    <w:rsid w:val="00D354CF"/>
    <w:rsid w:val="00D37C49"/>
    <w:rsid w:val="00D4107D"/>
    <w:rsid w:val="00D60DC7"/>
    <w:rsid w:val="00D6468F"/>
    <w:rsid w:val="00D92C95"/>
    <w:rsid w:val="00D92D0D"/>
    <w:rsid w:val="00D96FBE"/>
    <w:rsid w:val="00DA7837"/>
    <w:rsid w:val="00DC46AB"/>
    <w:rsid w:val="00DD3FF7"/>
    <w:rsid w:val="00DE047F"/>
    <w:rsid w:val="00DE72E5"/>
    <w:rsid w:val="00DF1294"/>
    <w:rsid w:val="00DF6360"/>
    <w:rsid w:val="00E13852"/>
    <w:rsid w:val="00E2082F"/>
    <w:rsid w:val="00E464B4"/>
    <w:rsid w:val="00E5630B"/>
    <w:rsid w:val="00E633EC"/>
    <w:rsid w:val="00E8523F"/>
    <w:rsid w:val="00E86053"/>
    <w:rsid w:val="00E9002D"/>
    <w:rsid w:val="00EA6D94"/>
    <w:rsid w:val="00F05742"/>
    <w:rsid w:val="00F40708"/>
    <w:rsid w:val="00F4175F"/>
    <w:rsid w:val="00F52A9A"/>
    <w:rsid w:val="00F6072E"/>
    <w:rsid w:val="00F61FFC"/>
    <w:rsid w:val="00F81EAA"/>
    <w:rsid w:val="00F910E2"/>
    <w:rsid w:val="00F95E04"/>
    <w:rsid w:val="00FF03D7"/>
    <w:rsid w:val="00FF5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D5E"/>
    <w:pPr>
      <w:tabs>
        <w:tab w:val="center" w:pos="4320"/>
        <w:tab w:val="right" w:pos="8640"/>
      </w:tabs>
    </w:pPr>
  </w:style>
  <w:style w:type="character" w:customStyle="1" w:styleId="HeaderChar">
    <w:name w:val="Header Char"/>
    <w:basedOn w:val="DefaultParagraphFont"/>
    <w:link w:val="Header"/>
    <w:rsid w:val="00BD7D5E"/>
    <w:rPr>
      <w:rFonts w:ascii="Times New Roman" w:eastAsia="Times New Roman" w:hAnsi="Times New Roman" w:cs="Times New Roman"/>
      <w:sz w:val="20"/>
      <w:szCs w:val="20"/>
    </w:rPr>
  </w:style>
  <w:style w:type="paragraph" w:styleId="Footer">
    <w:name w:val="footer"/>
    <w:basedOn w:val="Normal"/>
    <w:link w:val="FooterChar"/>
    <w:rsid w:val="00BD7D5E"/>
    <w:pPr>
      <w:tabs>
        <w:tab w:val="center" w:pos="4320"/>
        <w:tab w:val="right" w:pos="8640"/>
      </w:tabs>
    </w:pPr>
  </w:style>
  <w:style w:type="character" w:customStyle="1" w:styleId="FooterChar">
    <w:name w:val="Footer Char"/>
    <w:basedOn w:val="DefaultParagraphFont"/>
    <w:link w:val="Footer"/>
    <w:rsid w:val="00BD7D5E"/>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semiHidden/>
    <w:rsid w:val="00BD7D5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fn Char Ch"/>
    <w:basedOn w:val="Normal"/>
    <w:link w:val="FootnoteTextChar2"/>
    <w:semiHidden/>
    <w:rsid w:val="00BD7D5E"/>
  </w:style>
  <w:style w:type="character" w:customStyle="1" w:styleId="FootnoteTextChar">
    <w:name w:val="Footnote Text Char"/>
    <w:basedOn w:val="DefaultParagraphFont"/>
    <w:uiPriority w:val="99"/>
    <w:semiHidden/>
    <w:rsid w:val="00BD7D5E"/>
    <w:rPr>
      <w:rFonts w:ascii="Times New Roman" w:eastAsia="Times New Roman" w:hAnsi="Times New Roman" w:cs="Times New Roman"/>
      <w:sz w:val="20"/>
      <w:szCs w:val="20"/>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emiHidden/>
    <w:locked/>
    <w:rsid w:val="00BD7D5E"/>
    <w:rPr>
      <w:rFonts w:ascii="Times New Roman" w:eastAsia="Times New Roman" w:hAnsi="Times New Roman" w:cs="Times New Roman"/>
      <w:sz w:val="20"/>
      <w:szCs w:val="20"/>
    </w:rPr>
  </w:style>
  <w:style w:type="character" w:styleId="PageNumber">
    <w:name w:val="page number"/>
    <w:basedOn w:val="DefaultParagraphFont"/>
    <w:rsid w:val="00BD7D5E"/>
  </w:style>
  <w:style w:type="paragraph" w:styleId="NoSpacing">
    <w:name w:val="No Spacing"/>
    <w:uiPriority w:val="1"/>
    <w:qFormat/>
    <w:rsid w:val="00BD7D5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C3F50"/>
    <w:rPr>
      <w:rFonts w:ascii="Tahoma" w:hAnsi="Tahoma" w:cs="Tahoma"/>
      <w:sz w:val="16"/>
      <w:szCs w:val="16"/>
    </w:rPr>
  </w:style>
  <w:style w:type="character" w:customStyle="1" w:styleId="BalloonTextChar">
    <w:name w:val="Balloon Text Char"/>
    <w:basedOn w:val="DefaultParagraphFont"/>
    <w:link w:val="BalloonText"/>
    <w:uiPriority w:val="99"/>
    <w:semiHidden/>
    <w:rsid w:val="004C3F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6FCB"/>
    <w:rPr>
      <w:sz w:val="16"/>
      <w:szCs w:val="16"/>
    </w:rPr>
  </w:style>
  <w:style w:type="paragraph" w:styleId="CommentText">
    <w:name w:val="annotation text"/>
    <w:basedOn w:val="Normal"/>
    <w:link w:val="CommentTextChar"/>
    <w:uiPriority w:val="99"/>
    <w:semiHidden/>
    <w:unhideWhenUsed/>
    <w:rsid w:val="00436FCB"/>
  </w:style>
  <w:style w:type="character" w:customStyle="1" w:styleId="CommentTextChar">
    <w:name w:val="Comment Text Char"/>
    <w:basedOn w:val="DefaultParagraphFont"/>
    <w:link w:val="CommentText"/>
    <w:uiPriority w:val="99"/>
    <w:semiHidden/>
    <w:rsid w:val="00436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FCB"/>
    <w:rPr>
      <w:b/>
      <w:bCs/>
    </w:rPr>
  </w:style>
  <w:style w:type="character" w:customStyle="1" w:styleId="CommentSubjectChar">
    <w:name w:val="Comment Subject Char"/>
    <w:basedOn w:val="CommentTextChar"/>
    <w:link w:val="CommentSubject"/>
    <w:uiPriority w:val="99"/>
    <w:semiHidden/>
    <w:rsid w:val="00436FCB"/>
    <w:rPr>
      <w:rFonts w:ascii="Times New Roman" w:eastAsia="Times New Roman" w:hAnsi="Times New Roman" w:cs="Times New Roman"/>
      <w:b/>
      <w:bCs/>
      <w:sz w:val="20"/>
      <w:szCs w:val="20"/>
    </w:rPr>
  </w:style>
  <w:style w:type="character" w:styleId="Strong">
    <w:name w:val="Strong"/>
    <w:basedOn w:val="DefaultParagraphFont"/>
    <w:qFormat/>
    <w:rsid w:val="00B739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D5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7D5E"/>
    <w:pPr>
      <w:tabs>
        <w:tab w:val="center" w:pos="4320"/>
        <w:tab w:val="right" w:pos="8640"/>
      </w:tabs>
    </w:pPr>
  </w:style>
  <w:style w:type="character" w:customStyle="1" w:styleId="HeaderChar">
    <w:name w:val="Header Char"/>
    <w:basedOn w:val="DefaultParagraphFont"/>
    <w:link w:val="Header"/>
    <w:rsid w:val="00BD7D5E"/>
    <w:rPr>
      <w:rFonts w:ascii="Times New Roman" w:eastAsia="Times New Roman" w:hAnsi="Times New Roman" w:cs="Times New Roman"/>
      <w:sz w:val="20"/>
      <w:szCs w:val="20"/>
    </w:rPr>
  </w:style>
  <w:style w:type="paragraph" w:styleId="Footer">
    <w:name w:val="footer"/>
    <w:basedOn w:val="Normal"/>
    <w:link w:val="FooterChar"/>
    <w:rsid w:val="00BD7D5E"/>
    <w:pPr>
      <w:tabs>
        <w:tab w:val="center" w:pos="4320"/>
        <w:tab w:val="right" w:pos="8640"/>
      </w:tabs>
    </w:pPr>
  </w:style>
  <w:style w:type="character" w:customStyle="1" w:styleId="FooterChar">
    <w:name w:val="Footer Char"/>
    <w:basedOn w:val="DefaultParagraphFont"/>
    <w:link w:val="Footer"/>
    <w:rsid w:val="00BD7D5E"/>
    <w:rPr>
      <w:rFonts w:ascii="Times New Roman" w:eastAsia="Times New Roman" w:hAnsi="Times New Roman" w:cs="Times New Roman"/>
      <w:sz w:val="20"/>
      <w:szCs w:val="20"/>
    </w:rPr>
  </w:style>
  <w:style w:type="character" w:styleId="FootnoteReference">
    <w:name w:val="footnote reference"/>
    <w:aliases w:val="Style 12,(NECG) Footnote Reference,Appel note de bas de p,Style 124,o,fr,Style 3,Style 13"/>
    <w:semiHidden/>
    <w:rsid w:val="00BD7D5E"/>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rrfootnote,f,fn Char Ch"/>
    <w:basedOn w:val="Normal"/>
    <w:link w:val="FootnoteTextChar2"/>
    <w:semiHidden/>
    <w:rsid w:val="00BD7D5E"/>
  </w:style>
  <w:style w:type="character" w:customStyle="1" w:styleId="FootnoteTextChar">
    <w:name w:val="Footnote Text Char"/>
    <w:basedOn w:val="DefaultParagraphFont"/>
    <w:uiPriority w:val="99"/>
    <w:semiHidden/>
    <w:rsid w:val="00BD7D5E"/>
    <w:rPr>
      <w:rFonts w:ascii="Times New Roman" w:eastAsia="Times New Roman" w:hAnsi="Times New Roman" w:cs="Times New Roman"/>
      <w:sz w:val="20"/>
      <w:szCs w:val="20"/>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semiHidden/>
    <w:locked/>
    <w:rsid w:val="00BD7D5E"/>
    <w:rPr>
      <w:rFonts w:ascii="Times New Roman" w:eastAsia="Times New Roman" w:hAnsi="Times New Roman" w:cs="Times New Roman"/>
      <w:sz w:val="20"/>
      <w:szCs w:val="20"/>
    </w:rPr>
  </w:style>
  <w:style w:type="character" w:styleId="PageNumber">
    <w:name w:val="page number"/>
    <w:basedOn w:val="DefaultParagraphFont"/>
    <w:rsid w:val="00BD7D5E"/>
  </w:style>
  <w:style w:type="paragraph" w:styleId="NoSpacing">
    <w:name w:val="No Spacing"/>
    <w:uiPriority w:val="1"/>
    <w:qFormat/>
    <w:rsid w:val="00BD7D5E"/>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C3F50"/>
    <w:rPr>
      <w:rFonts w:ascii="Tahoma" w:hAnsi="Tahoma" w:cs="Tahoma"/>
      <w:sz w:val="16"/>
      <w:szCs w:val="16"/>
    </w:rPr>
  </w:style>
  <w:style w:type="character" w:customStyle="1" w:styleId="BalloonTextChar">
    <w:name w:val="Balloon Text Char"/>
    <w:basedOn w:val="DefaultParagraphFont"/>
    <w:link w:val="BalloonText"/>
    <w:uiPriority w:val="99"/>
    <w:semiHidden/>
    <w:rsid w:val="004C3F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36FCB"/>
    <w:rPr>
      <w:sz w:val="16"/>
      <w:szCs w:val="16"/>
    </w:rPr>
  </w:style>
  <w:style w:type="paragraph" w:styleId="CommentText">
    <w:name w:val="annotation text"/>
    <w:basedOn w:val="Normal"/>
    <w:link w:val="CommentTextChar"/>
    <w:uiPriority w:val="99"/>
    <w:semiHidden/>
    <w:unhideWhenUsed/>
    <w:rsid w:val="00436FCB"/>
  </w:style>
  <w:style w:type="character" w:customStyle="1" w:styleId="CommentTextChar">
    <w:name w:val="Comment Text Char"/>
    <w:basedOn w:val="DefaultParagraphFont"/>
    <w:link w:val="CommentText"/>
    <w:uiPriority w:val="99"/>
    <w:semiHidden/>
    <w:rsid w:val="00436FC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36FCB"/>
    <w:rPr>
      <w:b/>
      <w:bCs/>
    </w:rPr>
  </w:style>
  <w:style w:type="character" w:customStyle="1" w:styleId="CommentSubjectChar">
    <w:name w:val="Comment Subject Char"/>
    <w:basedOn w:val="CommentTextChar"/>
    <w:link w:val="CommentSubject"/>
    <w:uiPriority w:val="99"/>
    <w:semiHidden/>
    <w:rsid w:val="00436FCB"/>
    <w:rPr>
      <w:rFonts w:ascii="Times New Roman" w:eastAsia="Times New Roman" w:hAnsi="Times New Roman" w:cs="Times New Roman"/>
      <w:b/>
      <w:bCs/>
      <w:sz w:val="20"/>
      <w:szCs w:val="20"/>
    </w:rPr>
  </w:style>
  <w:style w:type="character" w:styleId="Strong">
    <w:name w:val="Strong"/>
    <w:basedOn w:val="DefaultParagraphFont"/>
    <w:qFormat/>
    <w:rsid w:val="00B739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1003</Words>
  <Characters>5710</Characters>
  <Application>Microsoft Office Word</Application>
  <DocSecurity>0</DocSecurity>
  <Lines>99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6756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2013-11-06T19:11:00Z</cp:lastPrinted>
  <dcterms:created xsi:type="dcterms:W3CDTF">2013-11-15T13:01:00Z</dcterms:created>
  <dcterms:modified xsi:type="dcterms:W3CDTF">2013-11-15T13:01:00Z</dcterms:modified>
  <cp:category> </cp:category>
  <cp:contentStatus> </cp:contentStatus>
</cp:coreProperties>
</file>