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335" w:rsidRDefault="00372335">
      <w:pPr>
        <w:jc w:val="center"/>
        <w:rPr>
          <w:b/>
          <w:sz w:val="22"/>
          <w:szCs w:val="22"/>
        </w:rPr>
      </w:pPr>
      <w:bookmarkStart w:id="0" w:name="_GoBack"/>
      <w:bookmarkEnd w:id="0"/>
      <w:r>
        <w:rPr>
          <w:b/>
          <w:sz w:val="22"/>
          <w:szCs w:val="22"/>
        </w:rPr>
        <w:t xml:space="preserve">Before the </w:t>
      </w:r>
    </w:p>
    <w:p w:rsidR="00372335" w:rsidRDefault="00372335">
      <w:pPr>
        <w:jc w:val="center"/>
        <w:rPr>
          <w:b/>
          <w:sz w:val="22"/>
          <w:szCs w:val="22"/>
        </w:rPr>
      </w:pPr>
      <w:r>
        <w:rPr>
          <w:b/>
          <w:sz w:val="22"/>
          <w:szCs w:val="22"/>
        </w:rPr>
        <w:t>Federal Communications Commission</w:t>
      </w:r>
    </w:p>
    <w:p w:rsidR="00372335" w:rsidRDefault="00372335">
      <w:pPr>
        <w:jc w:val="center"/>
        <w:rPr>
          <w:b/>
          <w:sz w:val="22"/>
          <w:szCs w:val="22"/>
        </w:rPr>
      </w:pPr>
      <w:r>
        <w:rPr>
          <w:b/>
          <w:sz w:val="22"/>
          <w:szCs w:val="22"/>
        </w:rPr>
        <w:t>Washington, D.C. 20554</w:t>
      </w:r>
    </w:p>
    <w:p w:rsidR="00372335" w:rsidRDefault="00372335">
      <w:pPr>
        <w:rPr>
          <w:sz w:val="22"/>
          <w:szCs w:val="22"/>
        </w:rPr>
      </w:pPr>
    </w:p>
    <w:tbl>
      <w:tblPr>
        <w:tblW w:w="9648" w:type="dxa"/>
        <w:tblLayout w:type="fixed"/>
        <w:tblLook w:val="0000" w:firstRow="0" w:lastRow="0" w:firstColumn="0" w:lastColumn="0" w:noHBand="0" w:noVBand="0"/>
      </w:tblPr>
      <w:tblGrid>
        <w:gridCol w:w="4698"/>
        <w:gridCol w:w="720"/>
        <w:gridCol w:w="4230"/>
      </w:tblGrid>
      <w:tr w:rsidR="00372335">
        <w:tc>
          <w:tcPr>
            <w:tcW w:w="4698" w:type="dxa"/>
          </w:tcPr>
          <w:p w:rsidR="00372335" w:rsidRDefault="00372335">
            <w:pPr>
              <w:ind w:right="-18"/>
              <w:rPr>
                <w:sz w:val="22"/>
                <w:szCs w:val="22"/>
              </w:rPr>
            </w:pPr>
            <w:r>
              <w:rPr>
                <w:sz w:val="22"/>
                <w:szCs w:val="22"/>
              </w:rPr>
              <w:t>In the Matter of Application</w:t>
            </w:r>
            <w:r w:rsidR="00B61D45">
              <w:rPr>
                <w:sz w:val="22"/>
                <w:szCs w:val="22"/>
              </w:rPr>
              <w:t>s</w:t>
            </w:r>
            <w:r>
              <w:rPr>
                <w:sz w:val="22"/>
                <w:szCs w:val="22"/>
              </w:rPr>
              <w:t xml:space="preserve"> of</w:t>
            </w:r>
          </w:p>
          <w:p w:rsidR="00372335" w:rsidRDefault="00372335">
            <w:pPr>
              <w:ind w:right="-18"/>
              <w:rPr>
                <w:sz w:val="22"/>
                <w:szCs w:val="22"/>
              </w:rPr>
            </w:pPr>
          </w:p>
          <w:p w:rsidR="00372335" w:rsidRDefault="004168CD">
            <w:pPr>
              <w:ind w:right="-18"/>
              <w:rPr>
                <w:sz w:val="22"/>
                <w:szCs w:val="22"/>
              </w:rPr>
            </w:pPr>
            <w:r>
              <w:rPr>
                <w:sz w:val="22"/>
                <w:szCs w:val="22"/>
              </w:rPr>
              <w:t xml:space="preserve">EDUCATIONAL BROADBAND </w:t>
            </w:r>
            <w:r w:rsidR="006A7403">
              <w:rPr>
                <w:sz w:val="22"/>
                <w:szCs w:val="22"/>
              </w:rPr>
              <w:t>CORPORATION</w:t>
            </w:r>
          </w:p>
          <w:p w:rsidR="00372335" w:rsidRDefault="00372335">
            <w:pPr>
              <w:ind w:right="-18"/>
              <w:rPr>
                <w:sz w:val="22"/>
                <w:szCs w:val="22"/>
              </w:rPr>
            </w:pPr>
          </w:p>
          <w:p w:rsidR="00372335" w:rsidRDefault="00C8350B" w:rsidP="00C8350B">
            <w:pPr>
              <w:ind w:right="-198"/>
              <w:rPr>
                <w:sz w:val="22"/>
                <w:szCs w:val="22"/>
              </w:rPr>
            </w:pPr>
            <w:r>
              <w:rPr>
                <w:sz w:val="22"/>
                <w:szCs w:val="22"/>
              </w:rPr>
              <w:t xml:space="preserve">For </w:t>
            </w:r>
            <w:r w:rsidR="00372335">
              <w:rPr>
                <w:sz w:val="22"/>
                <w:szCs w:val="22"/>
              </w:rPr>
              <w:t>New Educational Broadband Service Station</w:t>
            </w:r>
            <w:r>
              <w:rPr>
                <w:sz w:val="22"/>
                <w:szCs w:val="22"/>
              </w:rPr>
              <w:t>s</w:t>
            </w:r>
            <w:r w:rsidR="00372335">
              <w:rPr>
                <w:sz w:val="22"/>
                <w:szCs w:val="22"/>
              </w:rPr>
              <w:t xml:space="preserve"> </w:t>
            </w:r>
          </w:p>
        </w:tc>
        <w:tc>
          <w:tcPr>
            <w:tcW w:w="720" w:type="dxa"/>
          </w:tcPr>
          <w:p w:rsidR="00372335" w:rsidRDefault="00372335">
            <w:pPr>
              <w:rPr>
                <w:b/>
                <w:sz w:val="22"/>
                <w:szCs w:val="22"/>
              </w:rPr>
            </w:pPr>
            <w:r>
              <w:rPr>
                <w:b/>
                <w:sz w:val="22"/>
                <w:szCs w:val="22"/>
              </w:rPr>
              <w:t>)</w:t>
            </w:r>
          </w:p>
          <w:p w:rsidR="00372335" w:rsidRDefault="00372335">
            <w:pPr>
              <w:rPr>
                <w:b/>
                <w:sz w:val="22"/>
                <w:szCs w:val="22"/>
              </w:rPr>
            </w:pPr>
            <w:r>
              <w:rPr>
                <w:b/>
                <w:sz w:val="22"/>
                <w:szCs w:val="22"/>
              </w:rPr>
              <w:t>)</w:t>
            </w:r>
          </w:p>
          <w:p w:rsidR="00372335" w:rsidRDefault="00372335">
            <w:pPr>
              <w:rPr>
                <w:b/>
                <w:sz w:val="22"/>
                <w:szCs w:val="22"/>
              </w:rPr>
            </w:pPr>
            <w:r>
              <w:rPr>
                <w:b/>
                <w:sz w:val="22"/>
                <w:szCs w:val="22"/>
              </w:rPr>
              <w:t>)</w:t>
            </w:r>
          </w:p>
          <w:p w:rsidR="00372335" w:rsidRDefault="00372335">
            <w:pPr>
              <w:rPr>
                <w:b/>
                <w:sz w:val="22"/>
                <w:szCs w:val="22"/>
              </w:rPr>
            </w:pPr>
            <w:r>
              <w:rPr>
                <w:b/>
                <w:sz w:val="22"/>
                <w:szCs w:val="22"/>
              </w:rPr>
              <w:t>)</w:t>
            </w:r>
          </w:p>
          <w:p w:rsidR="00372335" w:rsidRDefault="00372335">
            <w:pPr>
              <w:rPr>
                <w:b/>
                <w:sz w:val="22"/>
                <w:szCs w:val="22"/>
              </w:rPr>
            </w:pPr>
            <w:r>
              <w:rPr>
                <w:b/>
                <w:sz w:val="22"/>
                <w:szCs w:val="22"/>
              </w:rPr>
              <w:t>)</w:t>
            </w:r>
          </w:p>
          <w:p w:rsidR="00372335" w:rsidRDefault="00C8350B">
            <w:pPr>
              <w:rPr>
                <w:b/>
                <w:sz w:val="22"/>
                <w:szCs w:val="22"/>
              </w:rPr>
            </w:pPr>
            <w:r>
              <w:rPr>
                <w:b/>
                <w:sz w:val="22"/>
                <w:szCs w:val="22"/>
              </w:rPr>
              <w:t>)</w:t>
            </w:r>
          </w:p>
          <w:p w:rsidR="00336FC7" w:rsidRDefault="00336FC7">
            <w:pPr>
              <w:rPr>
                <w:b/>
                <w:sz w:val="22"/>
                <w:szCs w:val="22"/>
              </w:rPr>
            </w:pPr>
            <w:r>
              <w:rPr>
                <w:b/>
                <w:sz w:val="22"/>
                <w:szCs w:val="22"/>
              </w:rPr>
              <w:t>)</w:t>
            </w:r>
          </w:p>
        </w:tc>
        <w:tc>
          <w:tcPr>
            <w:tcW w:w="4230" w:type="dxa"/>
          </w:tcPr>
          <w:p w:rsidR="00372335" w:rsidRDefault="00372335">
            <w:pPr>
              <w:rPr>
                <w:sz w:val="22"/>
                <w:szCs w:val="22"/>
              </w:rPr>
            </w:pPr>
          </w:p>
          <w:p w:rsidR="00372335" w:rsidRDefault="00372335">
            <w:pPr>
              <w:rPr>
                <w:sz w:val="22"/>
                <w:szCs w:val="22"/>
              </w:rPr>
            </w:pPr>
          </w:p>
          <w:p w:rsidR="00372335" w:rsidRDefault="00372335">
            <w:pPr>
              <w:rPr>
                <w:spacing w:val="-2"/>
                <w:sz w:val="22"/>
                <w:szCs w:val="22"/>
              </w:rPr>
            </w:pPr>
            <w:r>
              <w:rPr>
                <w:spacing w:val="-2"/>
                <w:sz w:val="22"/>
                <w:szCs w:val="22"/>
              </w:rPr>
              <w:t xml:space="preserve">File No. </w:t>
            </w:r>
            <w:r>
              <w:rPr>
                <w:sz w:val="22"/>
                <w:szCs w:val="22"/>
              </w:rPr>
              <w:t>000</w:t>
            </w:r>
            <w:r w:rsidR="004168CD">
              <w:rPr>
                <w:sz w:val="22"/>
                <w:szCs w:val="22"/>
              </w:rPr>
              <w:t>5690754</w:t>
            </w:r>
            <w:r w:rsidR="00C8350B">
              <w:rPr>
                <w:sz w:val="22"/>
                <w:szCs w:val="22"/>
              </w:rPr>
              <w:t>, 00056</w:t>
            </w:r>
            <w:r w:rsidR="00C90007">
              <w:rPr>
                <w:sz w:val="22"/>
                <w:szCs w:val="22"/>
              </w:rPr>
              <w:t>9</w:t>
            </w:r>
            <w:r w:rsidR="00C8350B">
              <w:rPr>
                <w:sz w:val="22"/>
                <w:szCs w:val="22"/>
              </w:rPr>
              <w:t>0755</w:t>
            </w:r>
          </w:p>
          <w:p w:rsidR="00372335" w:rsidRDefault="00372335">
            <w:pPr>
              <w:rPr>
                <w:sz w:val="22"/>
                <w:szCs w:val="22"/>
              </w:rPr>
            </w:pPr>
          </w:p>
          <w:p w:rsidR="00372335" w:rsidRDefault="00372335">
            <w:pPr>
              <w:rPr>
                <w:sz w:val="22"/>
                <w:szCs w:val="22"/>
              </w:rPr>
            </w:pPr>
          </w:p>
        </w:tc>
      </w:tr>
    </w:tbl>
    <w:p w:rsidR="00372335" w:rsidRDefault="00372335">
      <w:pPr>
        <w:rPr>
          <w:sz w:val="22"/>
          <w:szCs w:val="22"/>
        </w:rPr>
      </w:pPr>
    </w:p>
    <w:p w:rsidR="00372335" w:rsidRDefault="00372335">
      <w:pPr>
        <w:jc w:val="center"/>
        <w:rPr>
          <w:b/>
          <w:sz w:val="22"/>
          <w:szCs w:val="22"/>
        </w:rPr>
      </w:pPr>
      <w:r>
        <w:rPr>
          <w:b/>
          <w:sz w:val="22"/>
          <w:szCs w:val="22"/>
        </w:rPr>
        <w:t>MEMORANDUM OPINION AND ORDER</w:t>
      </w:r>
    </w:p>
    <w:p w:rsidR="00372335" w:rsidRDefault="00372335">
      <w:pPr>
        <w:rPr>
          <w:sz w:val="22"/>
          <w:szCs w:val="22"/>
        </w:rPr>
      </w:pPr>
    </w:p>
    <w:p w:rsidR="00372335" w:rsidRDefault="00372335">
      <w:pPr>
        <w:tabs>
          <w:tab w:val="left" w:pos="6480"/>
        </w:tabs>
        <w:rPr>
          <w:b/>
          <w:sz w:val="22"/>
          <w:szCs w:val="22"/>
        </w:rPr>
      </w:pPr>
      <w:r>
        <w:rPr>
          <w:b/>
          <w:sz w:val="22"/>
          <w:szCs w:val="22"/>
        </w:rPr>
        <w:t xml:space="preserve">Adopted:  </w:t>
      </w:r>
      <w:r w:rsidR="00ED36FF">
        <w:rPr>
          <w:b/>
          <w:sz w:val="22"/>
          <w:szCs w:val="22"/>
        </w:rPr>
        <w:t xml:space="preserve">November </w:t>
      </w:r>
      <w:r w:rsidR="008B21AA">
        <w:rPr>
          <w:b/>
          <w:sz w:val="22"/>
          <w:szCs w:val="22"/>
        </w:rPr>
        <w:t>7</w:t>
      </w:r>
      <w:r>
        <w:rPr>
          <w:b/>
          <w:sz w:val="22"/>
          <w:szCs w:val="22"/>
        </w:rPr>
        <w:t>, 2013</w:t>
      </w:r>
      <w:r>
        <w:rPr>
          <w:sz w:val="22"/>
          <w:szCs w:val="22"/>
        </w:rPr>
        <w:tab/>
      </w:r>
      <w:r>
        <w:rPr>
          <w:b/>
          <w:sz w:val="22"/>
          <w:szCs w:val="22"/>
        </w:rPr>
        <w:t xml:space="preserve">Released: </w:t>
      </w:r>
      <w:r w:rsidR="00ED36FF">
        <w:rPr>
          <w:b/>
          <w:sz w:val="22"/>
          <w:szCs w:val="22"/>
        </w:rPr>
        <w:t xml:space="preserve">November </w:t>
      </w:r>
      <w:r w:rsidR="008B21AA">
        <w:rPr>
          <w:b/>
          <w:sz w:val="22"/>
          <w:szCs w:val="22"/>
        </w:rPr>
        <w:t>8</w:t>
      </w:r>
      <w:r>
        <w:rPr>
          <w:b/>
          <w:sz w:val="22"/>
          <w:szCs w:val="22"/>
        </w:rPr>
        <w:t>, 2013</w:t>
      </w:r>
    </w:p>
    <w:p w:rsidR="00372335" w:rsidRDefault="00372335">
      <w:pPr>
        <w:rPr>
          <w:b/>
          <w:sz w:val="22"/>
          <w:szCs w:val="22"/>
        </w:rPr>
      </w:pPr>
    </w:p>
    <w:p w:rsidR="00372335" w:rsidRDefault="00372335">
      <w:pPr>
        <w:rPr>
          <w:sz w:val="22"/>
          <w:szCs w:val="22"/>
        </w:rPr>
      </w:pPr>
      <w:r>
        <w:rPr>
          <w:sz w:val="22"/>
          <w:szCs w:val="22"/>
        </w:rPr>
        <w:t xml:space="preserve">By the </w:t>
      </w:r>
      <w:r w:rsidR="0074173A">
        <w:rPr>
          <w:sz w:val="22"/>
          <w:szCs w:val="22"/>
        </w:rPr>
        <w:t xml:space="preserve">Deputy </w:t>
      </w:r>
      <w:r>
        <w:rPr>
          <w:sz w:val="22"/>
          <w:szCs w:val="22"/>
        </w:rPr>
        <w:t xml:space="preserve">Chief, </w:t>
      </w:r>
      <w:r w:rsidR="0085492B">
        <w:rPr>
          <w:sz w:val="22"/>
          <w:szCs w:val="22"/>
        </w:rPr>
        <w:t xml:space="preserve">Broadband Division, </w:t>
      </w:r>
      <w:r>
        <w:rPr>
          <w:sz w:val="22"/>
          <w:szCs w:val="22"/>
        </w:rPr>
        <w:t>Wireless Telecommunications Bureau:</w:t>
      </w:r>
    </w:p>
    <w:p w:rsidR="00372335" w:rsidRDefault="00372335">
      <w:pPr>
        <w:rPr>
          <w:sz w:val="22"/>
          <w:szCs w:val="22"/>
        </w:rPr>
      </w:pPr>
    </w:p>
    <w:p w:rsidR="00372335" w:rsidRDefault="00372335">
      <w:pPr>
        <w:rPr>
          <w:b/>
          <w:sz w:val="22"/>
          <w:szCs w:val="22"/>
        </w:rPr>
      </w:pPr>
      <w:r>
        <w:rPr>
          <w:b/>
          <w:sz w:val="22"/>
          <w:szCs w:val="22"/>
        </w:rPr>
        <w:t>I.</w:t>
      </w:r>
      <w:r>
        <w:rPr>
          <w:b/>
          <w:sz w:val="22"/>
          <w:szCs w:val="22"/>
        </w:rPr>
        <w:tab/>
      </w:r>
      <w:r>
        <w:rPr>
          <w:rStyle w:val="Heading1Char"/>
          <w:rFonts w:ascii="Times New Roman" w:hAnsi="Times New Roman" w:cs="Times New Roman"/>
          <w:sz w:val="22"/>
          <w:szCs w:val="22"/>
        </w:rPr>
        <w:t>INTRODUCTION</w:t>
      </w:r>
    </w:p>
    <w:p w:rsidR="00372335" w:rsidRDefault="00372335">
      <w:pPr>
        <w:rPr>
          <w:sz w:val="22"/>
          <w:szCs w:val="22"/>
        </w:rPr>
      </w:pPr>
    </w:p>
    <w:p w:rsidR="00416CD4" w:rsidRDefault="00EC5D8B" w:rsidP="00EC5D8B">
      <w:pPr>
        <w:numPr>
          <w:ilvl w:val="1"/>
          <w:numId w:val="16"/>
        </w:numPr>
        <w:tabs>
          <w:tab w:val="clear" w:pos="2160"/>
          <w:tab w:val="num" w:pos="1440"/>
        </w:tabs>
        <w:spacing w:after="220"/>
        <w:ind w:left="0"/>
        <w:rPr>
          <w:sz w:val="22"/>
          <w:szCs w:val="22"/>
        </w:rPr>
      </w:pPr>
      <w:r>
        <w:rPr>
          <w:sz w:val="22"/>
          <w:szCs w:val="22"/>
        </w:rPr>
        <w:t xml:space="preserve">In this </w:t>
      </w:r>
      <w:r>
        <w:rPr>
          <w:i/>
          <w:sz w:val="22"/>
          <w:szCs w:val="22"/>
        </w:rPr>
        <w:t>Memorandum Opinion and Order</w:t>
      </w:r>
      <w:r>
        <w:rPr>
          <w:sz w:val="22"/>
          <w:szCs w:val="22"/>
        </w:rPr>
        <w:t xml:space="preserve">, we deny </w:t>
      </w:r>
      <w:r w:rsidRPr="00EC5D8B">
        <w:rPr>
          <w:sz w:val="22"/>
          <w:szCs w:val="22"/>
        </w:rPr>
        <w:t xml:space="preserve">the request of </w:t>
      </w:r>
      <w:r>
        <w:rPr>
          <w:sz w:val="22"/>
          <w:szCs w:val="22"/>
        </w:rPr>
        <w:t>Educational Broadband Corporation (“EBC”) for</w:t>
      </w:r>
      <w:r w:rsidRPr="00EC5D8B">
        <w:rPr>
          <w:sz w:val="22"/>
          <w:szCs w:val="22"/>
        </w:rPr>
        <w:t xml:space="preserve"> a waiver of the filing freeze on new Educational Broadband Service (EBS) applications, </w:t>
      </w:r>
      <w:r w:rsidR="00682963">
        <w:rPr>
          <w:sz w:val="22"/>
          <w:szCs w:val="22"/>
        </w:rPr>
        <w:t xml:space="preserve">and </w:t>
      </w:r>
      <w:r w:rsidR="00B12FAE">
        <w:rPr>
          <w:sz w:val="22"/>
          <w:szCs w:val="22"/>
        </w:rPr>
        <w:t xml:space="preserve">direct </w:t>
      </w:r>
      <w:r w:rsidRPr="00EC5D8B">
        <w:rPr>
          <w:sz w:val="22"/>
          <w:szCs w:val="22"/>
        </w:rPr>
        <w:t>dismiss</w:t>
      </w:r>
      <w:r w:rsidR="00B12FAE">
        <w:rPr>
          <w:sz w:val="22"/>
          <w:szCs w:val="22"/>
        </w:rPr>
        <w:t>al of</w:t>
      </w:r>
      <w:r w:rsidRPr="00EC5D8B">
        <w:rPr>
          <w:sz w:val="22"/>
          <w:szCs w:val="22"/>
        </w:rPr>
        <w:t xml:space="preserve"> its application</w:t>
      </w:r>
      <w:r>
        <w:rPr>
          <w:sz w:val="22"/>
          <w:szCs w:val="22"/>
        </w:rPr>
        <w:t>s</w:t>
      </w:r>
      <w:r w:rsidRPr="00EC5D8B">
        <w:rPr>
          <w:sz w:val="22"/>
          <w:szCs w:val="22"/>
        </w:rPr>
        <w:t xml:space="preserve"> for four </w:t>
      </w:r>
      <w:r>
        <w:rPr>
          <w:sz w:val="22"/>
          <w:szCs w:val="22"/>
        </w:rPr>
        <w:t>D</w:t>
      </w:r>
      <w:r w:rsidR="004E4420">
        <w:rPr>
          <w:sz w:val="22"/>
          <w:szCs w:val="22"/>
        </w:rPr>
        <w:t>-</w:t>
      </w:r>
      <w:r w:rsidRPr="00EC5D8B">
        <w:rPr>
          <w:sz w:val="22"/>
          <w:szCs w:val="22"/>
        </w:rPr>
        <w:t xml:space="preserve">group EBS channels </w:t>
      </w:r>
      <w:r w:rsidR="004E4420">
        <w:rPr>
          <w:sz w:val="22"/>
          <w:szCs w:val="22"/>
        </w:rPr>
        <w:t>in Madison, Tennessee on the A-</w:t>
      </w:r>
      <w:r>
        <w:rPr>
          <w:sz w:val="22"/>
          <w:szCs w:val="22"/>
        </w:rPr>
        <w:t>group channels in Lauderdale, Tennessee.</w:t>
      </w:r>
      <w:r w:rsidR="002E3A3B">
        <w:rPr>
          <w:sz w:val="22"/>
          <w:szCs w:val="22"/>
        </w:rPr>
        <w:t xml:space="preserve">  </w:t>
      </w:r>
    </w:p>
    <w:p w:rsidR="00372335" w:rsidRDefault="00372335">
      <w:pPr>
        <w:pStyle w:val="Heading1"/>
        <w:spacing w:before="0" w:after="220"/>
        <w:rPr>
          <w:rFonts w:ascii="Times New Roman" w:hAnsi="Times New Roman"/>
          <w:sz w:val="22"/>
        </w:rPr>
      </w:pPr>
      <w:r>
        <w:rPr>
          <w:rFonts w:ascii="Times New Roman" w:hAnsi="Times New Roman"/>
          <w:sz w:val="22"/>
        </w:rPr>
        <w:t>II.</w:t>
      </w:r>
      <w:r>
        <w:rPr>
          <w:rFonts w:ascii="Times New Roman" w:hAnsi="Times New Roman"/>
          <w:sz w:val="22"/>
        </w:rPr>
        <w:tab/>
        <w:t>BACKGROUND</w:t>
      </w:r>
    </w:p>
    <w:p w:rsidR="00372335" w:rsidRDefault="00372335">
      <w:pPr>
        <w:numPr>
          <w:ilvl w:val="1"/>
          <w:numId w:val="16"/>
        </w:numPr>
        <w:tabs>
          <w:tab w:val="clear" w:pos="2160"/>
          <w:tab w:val="num" w:pos="1440"/>
        </w:tabs>
        <w:spacing w:after="220"/>
        <w:ind w:left="0"/>
        <w:rPr>
          <w:sz w:val="22"/>
          <w:szCs w:val="22"/>
        </w:rPr>
      </w:pPr>
      <w:r>
        <w:rPr>
          <w:i/>
          <w:sz w:val="22"/>
          <w:szCs w:val="22"/>
        </w:rPr>
        <w:t>2500-2690 MHz Band Generally</w:t>
      </w:r>
      <w:r>
        <w:rPr>
          <w:sz w:val="22"/>
          <w:szCs w:val="22"/>
        </w:rPr>
        <w:t>.  In developing regulatory policies in the 2500-2690 MHz band over the last several decades, the Commission has been cognizant of this band’s potential to host a variety of services.  In 1963, the Commission established the Instructional Television Fixed Service (</w:t>
      </w:r>
      <w:r w:rsidR="009D1F12">
        <w:rPr>
          <w:sz w:val="22"/>
          <w:szCs w:val="22"/>
        </w:rPr>
        <w:t>“</w:t>
      </w:r>
      <w:r>
        <w:rPr>
          <w:sz w:val="22"/>
          <w:szCs w:val="22"/>
        </w:rPr>
        <w:t>ITFS</w:t>
      </w:r>
      <w:r w:rsidR="009D1F12">
        <w:rPr>
          <w:sz w:val="22"/>
          <w:szCs w:val="22"/>
        </w:rPr>
        <w:t>”</w:t>
      </w:r>
      <w:r>
        <w:rPr>
          <w:sz w:val="22"/>
          <w:szCs w:val="22"/>
        </w:rPr>
        <w:t>) in the 2500-2690 MHz band,</w:t>
      </w:r>
      <w:r>
        <w:rPr>
          <w:rStyle w:val="FootnoteReference"/>
          <w:sz w:val="22"/>
          <w:szCs w:val="22"/>
        </w:rPr>
        <w:footnoteReference w:id="1"/>
      </w:r>
      <w:r>
        <w:rPr>
          <w:sz w:val="22"/>
          <w:szCs w:val="22"/>
        </w:rPr>
        <w:t xml:space="preserve"> envisioning that it would be used for transmission of instructional material to accred</w:t>
      </w:r>
      <w:r w:rsidR="00E644F3">
        <w:rPr>
          <w:sz w:val="22"/>
          <w:szCs w:val="22"/>
        </w:rPr>
        <w:t>ited public and private schools</w:t>
      </w:r>
      <w:r w:rsidR="0091599C">
        <w:rPr>
          <w:sz w:val="22"/>
          <w:szCs w:val="22"/>
        </w:rPr>
        <w:t xml:space="preserve"> and</w:t>
      </w:r>
      <w:r>
        <w:rPr>
          <w:sz w:val="22"/>
          <w:szCs w:val="22"/>
        </w:rPr>
        <w:t xml:space="preserve"> colleges and universities for the formal education of students.</w:t>
      </w:r>
      <w:r>
        <w:rPr>
          <w:rStyle w:val="FootnoteReference"/>
          <w:sz w:val="22"/>
          <w:szCs w:val="22"/>
        </w:rPr>
        <w:footnoteReference w:id="2"/>
      </w:r>
      <w:r>
        <w:rPr>
          <w:sz w:val="22"/>
          <w:szCs w:val="22"/>
        </w:rPr>
        <w:t xml:space="preserve">  In 1983, in response to the demand for additional spectrum for delivery of video entertainment programming to subscribers, the Commission re-allotted eight ITFS channels (the E and F channel blocks) and associated response channels for use by the Multipoint Distribution Service (</w:t>
      </w:r>
      <w:r w:rsidR="009D1F12">
        <w:rPr>
          <w:sz w:val="22"/>
          <w:szCs w:val="22"/>
        </w:rPr>
        <w:t>“</w:t>
      </w:r>
      <w:r>
        <w:rPr>
          <w:sz w:val="22"/>
          <w:szCs w:val="22"/>
        </w:rPr>
        <w:t>MDS</w:t>
      </w:r>
      <w:r w:rsidR="009D1F12">
        <w:rPr>
          <w:sz w:val="22"/>
          <w:szCs w:val="22"/>
        </w:rPr>
        <w:t>”</w:t>
      </w:r>
      <w:r>
        <w:rPr>
          <w:sz w:val="22"/>
          <w:szCs w:val="22"/>
        </w:rPr>
        <w:t>).</w:t>
      </w:r>
      <w:r>
        <w:rPr>
          <w:rStyle w:val="FootnoteReference"/>
          <w:sz w:val="22"/>
          <w:szCs w:val="22"/>
        </w:rPr>
        <w:footnoteReference w:id="3"/>
      </w:r>
      <w:r>
        <w:rPr>
          <w:sz w:val="22"/>
          <w:szCs w:val="22"/>
        </w:rPr>
        <w:t xml:space="preserve"> In conjunction with this re-allotment, the FCC permitted ITFS licensees to lease “excess capacity” on their facilities to commercial entities.</w:t>
      </w:r>
      <w:r>
        <w:rPr>
          <w:rStyle w:val="FootnoteReference"/>
          <w:sz w:val="22"/>
          <w:szCs w:val="22"/>
        </w:rPr>
        <w:footnoteReference w:id="4"/>
      </w:r>
    </w:p>
    <w:p w:rsidR="00372335" w:rsidRDefault="00372335">
      <w:pPr>
        <w:numPr>
          <w:ilvl w:val="1"/>
          <w:numId w:val="16"/>
        </w:numPr>
        <w:tabs>
          <w:tab w:val="clear" w:pos="2160"/>
          <w:tab w:val="num" w:pos="1440"/>
        </w:tabs>
        <w:spacing w:after="220"/>
        <w:ind w:left="0"/>
        <w:rPr>
          <w:sz w:val="22"/>
          <w:szCs w:val="22"/>
        </w:rPr>
      </w:pPr>
      <w:r>
        <w:rPr>
          <w:sz w:val="22"/>
          <w:szCs w:val="22"/>
        </w:rPr>
        <w:lastRenderedPageBreak/>
        <w:t>In April 2003, the Commission proposed new technical rules and a new band plan for ITFS and MDS spectrum (changing the service names to EBS and Broadband Radio Service (</w:t>
      </w:r>
      <w:r w:rsidR="007359AD">
        <w:rPr>
          <w:sz w:val="22"/>
          <w:szCs w:val="22"/>
        </w:rPr>
        <w:t>“</w:t>
      </w:r>
      <w:r>
        <w:rPr>
          <w:sz w:val="22"/>
          <w:szCs w:val="22"/>
        </w:rPr>
        <w:t>BRS</w:t>
      </w:r>
      <w:r w:rsidR="007359AD">
        <w:rPr>
          <w:sz w:val="22"/>
          <w:szCs w:val="22"/>
        </w:rPr>
        <w:t>”</w:t>
      </w:r>
      <w:r>
        <w:rPr>
          <w:sz w:val="22"/>
          <w:szCs w:val="22"/>
        </w:rPr>
        <w:t>), respectively).  At</w:t>
      </w:r>
      <w:r w:rsidR="002E3A3B">
        <w:rPr>
          <w:sz w:val="22"/>
          <w:szCs w:val="22"/>
        </w:rPr>
        <w:t xml:space="preserve"> </w:t>
      </w:r>
      <w:r>
        <w:rPr>
          <w:sz w:val="22"/>
          <w:szCs w:val="22"/>
        </w:rPr>
        <w:t xml:space="preserve">the same time, it implemented a filing freeze with respect to all applications for new BRS and EBS licenses, as well as for major modifications of those licenses, </w:t>
      </w:r>
      <w:r w:rsidR="007359AD">
        <w:rPr>
          <w:sz w:val="22"/>
          <w:szCs w:val="22"/>
        </w:rPr>
        <w:t>which would</w:t>
      </w:r>
      <w:r>
        <w:rPr>
          <w:sz w:val="22"/>
          <w:szCs w:val="22"/>
        </w:rPr>
        <w:t xml:space="preserve"> permit the orderly and effective resolution of issues in the BRS/EBS proceeding.</w:t>
      </w:r>
      <w:r>
        <w:rPr>
          <w:rStyle w:val="FootnoteReference"/>
          <w:sz w:val="22"/>
          <w:szCs w:val="22"/>
        </w:rPr>
        <w:footnoteReference w:id="5"/>
      </w:r>
      <w:r>
        <w:rPr>
          <w:sz w:val="22"/>
          <w:szCs w:val="22"/>
        </w:rPr>
        <w:t xml:space="preserve">  In August 2003, the Commission modified the freeze by permitting the filing of applications for new BRS licenses and major modifications of those licenses.</w:t>
      </w:r>
      <w:r>
        <w:rPr>
          <w:rStyle w:val="FootnoteReference"/>
          <w:sz w:val="22"/>
          <w:szCs w:val="22"/>
        </w:rPr>
        <w:footnoteReference w:id="6"/>
      </w:r>
      <w:r>
        <w:rPr>
          <w:sz w:val="22"/>
          <w:szCs w:val="22"/>
        </w:rPr>
        <w:t xml:space="preserve">  The Commission also permitted the filing of applications for major modifications of EBS licenses, but still maintained the filing freeze with respect to applications for new EBS licenses.</w:t>
      </w:r>
      <w:r>
        <w:rPr>
          <w:rStyle w:val="FootnoteReference"/>
          <w:sz w:val="22"/>
          <w:szCs w:val="22"/>
        </w:rPr>
        <w:footnoteReference w:id="7"/>
      </w:r>
      <w:r>
        <w:rPr>
          <w:sz w:val="22"/>
          <w:szCs w:val="22"/>
        </w:rPr>
        <w:t xml:space="preserve"> On June 10, 2004, the Commission adopted new rules that initiated a fundamental restructuring of the 2500-2690 MHz band</w:t>
      </w:r>
      <w:r w:rsidR="007359AD">
        <w:rPr>
          <w:sz w:val="22"/>
          <w:szCs w:val="22"/>
        </w:rPr>
        <w:t>, which would</w:t>
      </w:r>
      <w:r>
        <w:rPr>
          <w:sz w:val="22"/>
          <w:szCs w:val="22"/>
        </w:rPr>
        <w:t xml:space="preserve"> provide both existing EBS and BRS licensees and potential new entrants greater flexibility to encourage the highest and best use of spectrum domestically and internationally.</w:t>
      </w:r>
      <w:r>
        <w:rPr>
          <w:rStyle w:val="FootnoteReference"/>
          <w:sz w:val="22"/>
          <w:szCs w:val="22"/>
        </w:rPr>
        <w:t xml:space="preserve"> </w:t>
      </w:r>
      <w:r>
        <w:rPr>
          <w:rStyle w:val="FootnoteReference"/>
          <w:sz w:val="22"/>
          <w:szCs w:val="22"/>
        </w:rPr>
        <w:footnoteReference w:id="8"/>
      </w:r>
      <w:r>
        <w:rPr>
          <w:sz w:val="22"/>
          <w:szCs w:val="22"/>
        </w:rPr>
        <w:t xml:space="preserve">  </w:t>
      </w:r>
      <w:r w:rsidR="002E3A3B">
        <w:rPr>
          <w:sz w:val="22"/>
          <w:szCs w:val="22"/>
        </w:rPr>
        <w:t>In 2008</w:t>
      </w:r>
      <w:r>
        <w:rPr>
          <w:sz w:val="22"/>
          <w:szCs w:val="22"/>
        </w:rPr>
        <w:t>, the Commission sought comment on how to license unassigned EBS spectrum.</w:t>
      </w:r>
      <w:r>
        <w:rPr>
          <w:rStyle w:val="FootnoteReference"/>
          <w:sz w:val="22"/>
          <w:szCs w:val="22"/>
        </w:rPr>
        <w:footnoteReference w:id="9"/>
      </w:r>
      <w:r w:rsidR="0006034C">
        <w:rPr>
          <w:sz w:val="22"/>
          <w:szCs w:val="22"/>
        </w:rPr>
        <w:t xml:space="preserve">  Under the current band plan, the A, B, C, D, and G channel groups are EBS channels</w:t>
      </w:r>
      <w:r w:rsidR="00E96E91">
        <w:rPr>
          <w:sz w:val="22"/>
          <w:szCs w:val="22"/>
        </w:rPr>
        <w:t>,</w:t>
      </w:r>
      <w:r w:rsidR="0006034C">
        <w:rPr>
          <w:sz w:val="22"/>
          <w:szCs w:val="22"/>
        </w:rPr>
        <w:t xml:space="preserve"> while the E, F, and H channel groups are BRS channels, although there are some EBS licensees that hold grandfathered E and F channels.</w:t>
      </w:r>
    </w:p>
    <w:p w:rsidR="00C9500B" w:rsidRDefault="002E3A3B" w:rsidP="00C9500B">
      <w:pPr>
        <w:numPr>
          <w:ilvl w:val="1"/>
          <w:numId w:val="16"/>
        </w:numPr>
        <w:tabs>
          <w:tab w:val="clear" w:pos="2160"/>
          <w:tab w:val="num" w:pos="1440"/>
        </w:tabs>
        <w:spacing w:after="220"/>
        <w:ind w:left="0"/>
        <w:rPr>
          <w:sz w:val="22"/>
          <w:szCs w:val="22"/>
        </w:rPr>
      </w:pPr>
      <w:r w:rsidRPr="00D20DA9">
        <w:rPr>
          <w:i/>
          <w:sz w:val="22"/>
          <w:szCs w:val="22"/>
        </w:rPr>
        <w:t>Educational B</w:t>
      </w:r>
      <w:r w:rsidR="00B03512" w:rsidRPr="00D20DA9">
        <w:rPr>
          <w:i/>
          <w:sz w:val="22"/>
          <w:szCs w:val="22"/>
        </w:rPr>
        <w:t xml:space="preserve">roadband </w:t>
      </w:r>
      <w:r w:rsidR="006A7403" w:rsidRPr="00D20DA9">
        <w:rPr>
          <w:i/>
          <w:sz w:val="22"/>
          <w:szCs w:val="22"/>
        </w:rPr>
        <w:t>Corporation</w:t>
      </w:r>
      <w:r w:rsidR="00372335" w:rsidRPr="00D20DA9">
        <w:rPr>
          <w:i/>
          <w:sz w:val="22"/>
          <w:szCs w:val="22"/>
        </w:rPr>
        <w:t xml:space="preserve"> License Application</w:t>
      </w:r>
      <w:r w:rsidR="00372335" w:rsidRPr="00D20DA9">
        <w:rPr>
          <w:sz w:val="22"/>
          <w:szCs w:val="22"/>
        </w:rPr>
        <w:t xml:space="preserve">.  </w:t>
      </w:r>
      <w:r w:rsidR="00B03512" w:rsidRPr="00D20DA9">
        <w:rPr>
          <w:sz w:val="22"/>
          <w:szCs w:val="22"/>
        </w:rPr>
        <w:t>EBC</w:t>
      </w:r>
      <w:r w:rsidR="00C9500B">
        <w:rPr>
          <w:sz w:val="22"/>
          <w:szCs w:val="22"/>
        </w:rPr>
        <w:t>,</w:t>
      </w:r>
      <w:r w:rsidR="00B03512" w:rsidRPr="00D20DA9">
        <w:rPr>
          <w:sz w:val="22"/>
          <w:szCs w:val="22"/>
        </w:rPr>
        <w:t xml:space="preserve"> a 501(c)(3) nonprofit</w:t>
      </w:r>
      <w:r w:rsidR="00855801" w:rsidRPr="00D20DA9">
        <w:rPr>
          <w:sz w:val="22"/>
          <w:szCs w:val="22"/>
        </w:rPr>
        <w:t xml:space="preserve"> corporation</w:t>
      </w:r>
      <w:r w:rsidR="00C9500B">
        <w:rPr>
          <w:sz w:val="22"/>
          <w:szCs w:val="22"/>
        </w:rPr>
        <w:t>, provides educational</w:t>
      </w:r>
      <w:r w:rsidR="00855801" w:rsidRPr="00D20DA9">
        <w:rPr>
          <w:sz w:val="22"/>
          <w:szCs w:val="22"/>
        </w:rPr>
        <w:t xml:space="preserve"> </w:t>
      </w:r>
      <w:r w:rsidR="00C9500B">
        <w:rPr>
          <w:sz w:val="22"/>
          <w:szCs w:val="22"/>
        </w:rPr>
        <w:t>broadband service to schools in Madison and Lauderdale, Tennessee.</w:t>
      </w:r>
      <w:r w:rsidR="0085492B">
        <w:rPr>
          <w:rStyle w:val="FootnoteReference"/>
          <w:sz w:val="22"/>
          <w:szCs w:val="22"/>
        </w:rPr>
        <w:footnoteReference w:id="10"/>
      </w:r>
      <w:r w:rsidR="00C9500B">
        <w:rPr>
          <w:sz w:val="22"/>
          <w:szCs w:val="22"/>
        </w:rPr>
        <w:t xml:space="preserve">  Madison and Lauderdale, located next to each other in western Tennessee, are described by EBC as rural </w:t>
      </w:r>
      <w:r w:rsidR="0074173A">
        <w:rPr>
          <w:sz w:val="22"/>
          <w:szCs w:val="22"/>
        </w:rPr>
        <w:t xml:space="preserve">and </w:t>
      </w:r>
      <w:r w:rsidR="00C9500B">
        <w:rPr>
          <w:sz w:val="22"/>
          <w:szCs w:val="22"/>
        </w:rPr>
        <w:t>“somewhat depressed” areas, as evidenced by the high rate of free and subsidized lunch programs, where 80-90 percent of students receive free or subsidized school lunches.</w:t>
      </w:r>
      <w:r w:rsidR="0085492B">
        <w:rPr>
          <w:rStyle w:val="FootnoteReference"/>
          <w:sz w:val="22"/>
          <w:szCs w:val="22"/>
        </w:rPr>
        <w:footnoteReference w:id="11"/>
      </w:r>
      <w:r w:rsidR="00C9500B">
        <w:rPr>
          <w:sz w:val="22"/>
          <w:szCs w:val="22"/>
        </w:rPr>
        <w:t xml:space="preserve">  EBC reports that a large percentage</w:t>
      </w:r>
      <w:r w:rsidR="0074173A">
        <w:rPr>
          <w:sz w:val="22"/>
          <w:szCs w:val="22"/>
        </w:rPr>
        <w:t xml:space="preserve"> of students</w:t>
      </w:r>
      <w:r w:rsidR="00C9500B">
        <w:rPr>
          <w:sz w:val="22"/>
          <w:szCs w:val="22"/>
        </w:rPr>
        <w:t xml:space="preserve">, </w:t>
      </w:r>
      <w:r w:rsidR="0074173A">
        <w:rPr>
          <w:sz w:val="22"/>
          <w:szCs w:val="22"/>
        </w:rPr>
        <w:t xml:space="preserve">by </w:t>
      </w:r>
      <w:r w:rsidR="00C9500B">
        <w:rPr>
          <w:sz w:val="22"/>
          <w:szCs w:val="22"/>
        </w:rPr>
        <w:t>some estimates are as high as 50 percent, do not have internet access at home.</w:t>
      </w:r>
      <w:r w:rsidR="0085492B">
        <w:rPr>
          <w:rStyle w:val="FootnoteReference"/>
          <w:sz w:val="22"/>
          <w:szCs w:val="22"/>
        </w:rPr>
        <w:footnoteReference w:id="12"/>
      </w:r>
      <w:r w:rsidR="00C9500B">
        <w:rPr>
          <w:sz w:val="22"/>
          <w:szCs w:val="22"/>
        </w:rPr>
        <w:t xml:space="preserve">  </w:t>
      </w:r>
      <w:r w:rsidR="00C9500B">
        <w:rPr>
          <w:sz w:val="22"/>
          <w:szCs w:val="22"/>
        </w:rPr>
        <w:lastRenderedPageBreak/>
        <w:t>Without internet access at home</w:t>
      </w:r>
      <w:r w:rsidR="0074173A">
        <w:rPr>
          <w:sz w:val="22"/>
          <w:szCs w:val="22"/>
        </w:rPr>
        <w:t>,</w:t>
      </w:r>
      <w:r w:rsidR="00C9500B">
        <w:rPr>
          <w:sz w:val="22"/>
          <w:szCs w:val="22"/>
        </w:rPr>
        <w:t xml:space="preserve"> students must compete for lab time at school, thus straining the schools’ existing bandwidth capacity.</w:t>
      </w:r>
      <w:r w:rsidR="0085492B">
        <w:rPr>
          <w:rStyle w:val="FootnoteReference"/>
          <w:sz w:val="22"/>
          <w:szCs w:val="22"/>
        </w:rPr>
        <w:footnoteReference w:id="13"/>
      </w:r>
      <w:r w:rsidR="00C9500B">
        <w:rPr>
          <w:sz w:val="22"/>
          <w:szCs w:val="22"/>
        </w:rPr>
        <w:t xml:space="preserve">  </w:t>
      </w:r>
    </w:p>
    <w:p w:rsidR="00CB0280" w:rsidRPr="00D20DA9" w:rsidRDefault="00C9500B" w:rsidP="009D1F12">
      <w:pPr>
        <w:numPr>
          <w:ilvl w:val="1"/>
          <w:numId w:val="16"/>
        </w:numPr>
        <w:tabs>
          <w:tab w:val="clear" w:pos="2160"/>
          <w:tab w:val="num" w:pos="1440"/>
        </w:tabs>
        <w:spacing w:after="220"/>
        <w:ind w:left="0"/>
        <w:rPr>
          <w:sz w:val="22"/>
          <w:szCs w:val="22"/>
        </w:rPr>
      </w:pPr>
      <w:r>
        <w:rPr>
          <w:sz w:val="22"/>
          <w:szCs w:val="22"/>
        </w:rPr>
        <w:t>EBC</w:t>
      </w:r>
      <w:r w:rsidR="00855801" w:rsidRPr="00D20DA9">
        <w:rPr>
          <w:sz w:val="22"/>
          <w:szCs w:val="22"/>
        </w:rPr>
        <w:t xml:space="preserve"> operates EBS S</w:t>
      </w:r>
      <w:r w:rsidR="00B03512" w:rsidRPr="00D20DA9">
        <w:rPr>
          <w:sz w:val="22"/>
          <w:szCs w:val="22"/>
        </w:rPr>
        <w:t>tation WLX817 on the G-group channels in Madison</w:t>
      </w:r>
      <w:r w:rsidR="003D7D26" w:rsidRPr="00D20DA9">
        <w:rPr>
          <w:sz w:val="22"/>
          <w:szCs w:val="22"/>
        </w:rPr>
        <w:t>, Tennessee and Station WLX621 on the G-group channels in Lauderdale, Tennessee</w:t>
      </w:r>
      <w:r w:rsidR="00B03512" w:rsidRPr="00D20DA9">
        <w:rPr>
          <w:sz w:val="22"/>
          <w:szCs w:val="22"/>
        </w:rPr>
        <w:t>.</w:t>
      </w:r>
      <w:r w:rsidR="009938E3">
        <w:rPr>
          <w:rStyle w:val="FootnoteReference"/>
          <w:sz w:val="22"/>
          <w:szCs w:val="22"/>
        </w:rPr>
        <w:footnoteReference w:id="14"/>
      </w:r>
      <w:r w:rsidR="00B03512" w:rsidRPr="00D20DA9">
        <w:rPr>
          <w:sz w:val="22"/>
          <w:szCs w:val="22"/>
        </w:rPr>
        <w:t xml:space="preserve">  </w:t>
      </w:r>
      <w:r w:rsidR="00CB0280" w:rsidRPr="00D20DA9">
        <w:rPr>
          <w:sz w:val="22"/>
          <w:szCs w:val="22"/>
        </w:rPr>
        <w:t>EBC became the licensee of Station WLX817 on</w:t>
      </w:r>
      <w:r w:rsidR="00504063">
        <w:rPr>
          <w:sz w:val="22"/>
          <w:szCs w:val="22"/>
        </w:rPr>
        <w:t xml:space="preserve"> October 30</w:t>
      </w:r>
      <w:r w:rsidR="00CB0280" w:rsidRPr="00D20DA9">
        <w:rPr>
          <w:sz w:val="22"/>
          <w:szCs w:val="22"/>
        </w:rPr>
        <w:t xml:space="preserve">, 2010 when the Commission </w:t>
      </w:r>
      <w:r w:rsidR="00D20DA9" w:rsidRPr="00D20DA9">
        <w:rPr>
          <w:sz w:val="22"/>
          <w:szCs w:val="22"/>
        </w:rPr>
        <w:t>approved</w:t>
      </w:r>
      <w:r w:rsidR="00B87710" w:rsidRPr="00D20DA9">
        <w:rPr>
          <w:sz w:val="22"/>
          <w:szCs w:val="22"/>
        </w:rPr>
        <w:t xml:space="preserve"> the assignment of Station</w:t>
      </w:r>
      <w:r w:rsidR="00CB0280" w:rsidRPr="00D20DA9">
        <w:rPr>
          <w:sz w:val="22"/>
          <w:szCs w:val="22"/>
        </w:rPr>
        <w:t xml:space="preserve"> </w:t>
      </w:r>
      <w:r w:rsidR="006B77D7" w:rsidRPr="00D20DA9">
        <w:rPr>
          <w:sz w:val="22"/>
          <w:szCs w:val="22"/>
        </w:rPr>
        <w:t>WLX817</w:t>
      </w:r>
      <w:r w:rsidR="00CB0280" w:rsidRPr="00D20DA9">
        <w:rPr>
          <w:sz w:val="22"/>
          <w:szCs w:val="22"/>
        </w:rPr>
        <w:t xml:space="preserve"> from Lane College, located in Jackson, Tennessee</w:t>
      </w:r>
      <w:r w:rsidR="007A064A">
        <w:rPr>
          <w:sz w:val="22"/>
          <w:szCs w:val="22"/>
        </w:rPr>
        <w:t>,</w:t>
      </w:r>
      <w:r w:rsidR="00CB0280" w:rsidRPr="00D20DA9">
        <w:rPr>
          <w:sz w:val="22"/>
          <w:szCs w:val="22"/>
        </w:rPr>
        <w:t xml:space="preserve"> to EBC.</w:t>
      </w:r>
      <w:r w:rsidR="009938E3">
        <w:rPr>
          <w:rStyle w:val="FootnoteReference"/>
          <w:sz w:val="22"/>
          <w:szCs w:val="22"/>
        </w:rPr>
        <w:footnoteReference w:id="15"/>
      </w:r>
      <w:r w:rsidR="00CB0280" w:rsidRPr="00D20DA9">
        <w:rPr>
          <w:sz w:val="22"/>
          <w:szCs w:val="22"/>
        </w:rPr>
        <w:t xml:space="preserve">  EBC then </w:t>
      </w:r>
      <w:r>
        <w:rPr>
          <w:sz w:val="22"/>
          <w:szCs w:val="22"/>
        </w:rPr>
        <w:t>executed</w:t>
      </w:r>
      <w:r w:rsidR="00CB0280" w:rsidRPr="00D20DA9">
        <w:rPr>
          <w:sz w:val="22"/>
          <w:szCs w:val="22"/>
        </w:rPr>
        <w:t xml:space="preserve"> a Long Term De</w:t>
      </w:r>
      <w:r w:rsidR="00855801" w:rsidRPr="00D20DA9">
        <w:rPr>
          <w:sz w:val="22"/>
          <w:szCs w:val="22"/>
        </w:rPr>
        <w:t xml:space="preserve"> F</w:t>
      </w:r>
      <w:r w:rsidR="00CB0280" w:rsidRPr="00D20DA9">
        <w:rPr>
          <w:sz w:val="22"/>
          <w:szCs w:val="22"/>
        </w:rPr>
        <w:t>acto Lease Agreement</w:t>
      </w:r>
      <w:r w:rsidR="007359AD">
        <w:rPr>
          <w:sz w:val="22"/>
          <w:szCs w:val="22"/>
        </w:rPr>
        <w:t>, leasing WLX817’s excess capacity to</w:t>
      </w:r>
      <w:r w:rsidR="007359AD" w:rsidRPr="00D20DA9">
        <w:rPr>
          <w:sz w:val="22"/>
          <w:szCs w:val="22"/>
        </w:rPr>
        <w:t xml:space="preserve"> N-1 Communications, Inc</w:t>
      </w:r>
      <w:r w:rsidR="00CB0280" w:rsidRPr="00D20DA9">
        <w:rPr>
          <w:sz w:val="22"/>
          <w:szCs w:val="22"/>
        </w:rPr>
        <w:t>.</w:t>
      </w:r>
      <w:r w:rsidR="009938E3">
        <w:rPr>
          <w:rStyle w:val="FootnoteReference"/>
          <w:sz w:val="22"/>
          <w:szCs w:val="22"/>
        </w:rPr>
        <w:footnoteReference w:id="16"/>
      </w:r>
      <w:r w:rsidR="00D20DA9" w:rsidRPr="00D20DA9">
        <w:rPr>
          <w:sz w:val="22"/>
          <w:szCs w:val="22"/>
        </w:rPr>
        <w:t xml:space="preserve"> </w:t>
      </w:r>
      <w:r w:rsidR="00B637AE">
        <w:rPr>
          <w:sz w:val="22"/>
          <w:szCs w:val="22"/>
        </w:rPr>
        <w:t xml:space="preserve"> </w:t>
      </w:r>
      <w:r w:rsidR="008A0231">
        <w:rPr>
          <w:sz w:val="22"/>
          <w:szCs w:val="22"/>
        </w:rPr>
        <w:t>After</w:t>
      </w:r>
      <w:r w:rsidR="00CB0280" w:rsidRPr="00D20DA9">
        <w:rPr>
          <w:sz w:val="22"/>
          <w:szCs w:val="22"/>
        </w:rPr>
        <w:t xml:space="preserve"> N-1 Communications entered into receivership, </w:t>
      </w:r>
      <w:r w:rsidR="001B4E1C">
        <w:rPr>
          <w:sz w:val="22"/>
          <w:szCs w:val="22"/>
        </w:rPr>
        <w:t>however,</w:t>
      </w:r>
      <w:r w:rsidR="008A0231">
        <w:rPr>
          <w:sz w:val="22"/>
          <w:szCs w:val="22"/>
        </w:rPr>
        <w:t xml:space="preserve"> </w:t>
      </w:r>
      <w:r w:rsidR="001B4E1C" w:rsidRPr="00D20DA9">
        <w:rPr>
          <w:sz w:val="22"/>
          <w:szCs w:val="22"/>
        </w:rPr>
        <w:t>EBC</w:t>
      </w:r>
      <w:r w:rsidR="001B4E1C">
        <w:rPr>
          <w:sz w:val="22"/>
          <w:szCs w:val="22"/>
        </w:rPr>
        <w:t xml:space="preserve"> </w:t>
      </w:r>
      <w:r>
        <w:rPr>
          <w:sz w:val="22"/>
          <w:szCs w:val="22"/>
        </w:rPr>
        <w:t>executed</w:t>
      </w:r>
      <w:r w:rsidR="008A0231" w:rsidRPr="00D20DA9">
        <w:rPr>
          <w:sz w:val="22"/>
          <w:szCs w:val="22"/>
        </w:rPr>
        <w:t xml:space="preserve"> a new Long Term De Facto Lease Agreement (“Madison Lease Agreement”)</w:t>
      </w:r>
      <w:r w:rsidR="008A0231">
        <w:rPr>
          <w:sz w:val="22"/>
          <w:szCs w:val="22"/>
        </w:rPr>
        <w:t xml:space="preserve">, leasing WLX817’s excess capacity to Wisper, LLC, </w:t>
      </w:r>
      <w:r w:rsidR="00CB0280" w:rsidRPr="00D20DA9">
        <w:rPr>
          <w:sz w:val="22"/>
          <w:szCs w:val="22"/>
        </w:rPr>
        <w:t xml:space="preserve">a local internet service provider </w:t>
      </w:r>
      <w:r w:rsidR="007359AD">
        <w:rPr>
          <w:sz w:val="22"/>
          <w:szCs w:val="22"/>
        </w:rPr>
        <w:t xml:space="preserve">that </w:t>
      </w:r>
      <w:r w:rsidR="00CB0280" w:rsidRPr="00D20DA9">
        <w:rPr>
          <w:sz w:val="22"/>
          <w:szCs w:val="22"/>
        </w:rPr>
        <w:t>serv</w:t>
      </w:r>
      <w:r w:rsidR="007359AD">
        <w:rPr>
          <w:sz w:val="22"/>
          <w:szCs w:val="22"/>
        </w:rPr>
        <w:t>es</w:t>
      </w:r>
      <w:r w:rsidR="00CB0280" w:rsidRPr="00D20DA9">
        <w:rPr>
          <w:sz w:val="22"/>
          <w:szCs w:val="22"/>
        </w:rPr>
        <w:t xml:space="preserve"> rural areas of western Tennessee</w:t>
      </w:r>
      <w:r w:rsidR="001B4E1C">
        <w:rPr>
          <w:sz w:val="22"/>
          <w:szCs w:val="22"/>
        </w:rPr>
        <w:t>.</w:t>
      </w:r>
      <w:r w:rsidR="009938E3">
        <w:rPr>
          <w:rStyle w:val="FootnoteReference"/>
          <w:sz w:val="22"/>
          <w:szCs w:val="22"/>
        </w:rPr>
        <w:footnoteReference w:id="17"/>
      </w:r>
      <w:r w:rsidR="00CB0280" w:rsidRPr="00D20DA9">
        <w:rPr>
          <w:sz w:val="22"/>
          <w:szCs w:val="22"/>
        </w:rPr>
        <w:t xml:space="preserve">  EBC </w:t>
      </w:r>
      <w:r>
        <w:rPr>
          <w:sz w:val="22"/>
          <w:szCs w:val="22"/>
        </w:rPr>
        <w:t>then</w:t>
      </w:r>
      <w:r w:rsidR="001B4E1C">
        <w:rPr>
          <w:sz w:val="22"/>
          <w:szCs w:val="22"/>
        </w:rPr>
        <w:t xml:space="preserve"> </w:t>
      </w:r>
      <w:r w:rsidR="00CB0280" w:rsidRPr="00D20DA9">
        <w:rPr>
          <w:sz w:val="22"/>
          <w:szCs w:val="22"/>
        </w:rPr>
        <w:t>became the licen</w:t>
      </w:r>
      <w:r w:rsidR="005C67DE" w:rsidRPr="00D20DA9">
        <w:rPr>
          <w:sz w:val="22"/>
          <w:szCs w:val="22"/>
        </w:rPr>
        <w:t xml:space="preserve">see of </w:t>
      </w:r>
      <w:r>
        <w:rPr>
          <w:sz w:val="22"/>
          <w:szCs w:val="22"/>
        </w:rPr>
        <w:t xml:space="preserve">Station </w:t>
      </w:r>
      <w:r w:rsidR="005C67DE" w:rsidRPr="00D20DA9">
        <w:rPr>
          <w:sz w:val="22"/>
          <w:szCs w:val="22"/>
        </w:rPr>
        <w:t>WLX621</w:t>
      </w:r>
      <w:r w:rsidR="00855801" w:rsidRPr="00D20DA9">
        <w:rPr>
          <w:sz w:val="22"/>
          <w:szCs w:val="22"/>
        </w:rPr>
        <w:t xml:space="preserve"> </w:t>
      </w:r>
      <w:r w:rsidR="006B77D7" w:rsidRPr="00D20DA9">
        <w:rPr>
          <w:sz w:val="22"/>
          <w:szCs w:val="22"/>
        </w:rPr>
        <w:t>on Ju</w:t>
      </w:r>
      <w:r w:rsidR="00504063">
        <w:rPr>
          <w:sz w:val="22"/>
          <w:szCs w:val="22"/>
        </w:rPr>
        <w:t>ly 15</w:t>
      </w:r>
      <w:r w:rsidR="006B77D7" w:rsidRPr="00D20DA9">
        <w:rPr>
          <w:sz w:val="22"/>
          <w:szCs w:val="22"/>
        </w:rPr>
        <w:t xml:space="preserve">, 2011 when the Commission </w:t>
      </w:r>
      <w:r w:rsidR="00D20DA9" w:rsidRPr="00D20DA9">
        <w:rPr>
          <w:sz w:val="22"/>
          <w:szCs w:val="22"/>
        </w:rPr>
        <w:t>approv</w:t>
      </w:r>
      <w:r w:rsidR="00B87710" w:rsidRPr="00D20DA9">
        <w:rPr>
          <w:sz w:val="22"/>
          <w:szCs w:val="22"/>
        </w:rPr>
        <w:t>ed the assignment of</w:t>
      </w:r>
      <w:r w:rsidR="006B77D7" w:rsidRPr="00D20DA9">
        <w:rPr>
          <w:sz w:val="22"/>
          <w:szCs w:val="22"/>
        </w:rPr>
        <w:t xml:space="preserve"> WLX621 from Trenton Special School District, located in Trenton, Tennessee</w:t>
      </w:r>
      <w:r w:rsidR="007A064A">
        <w:rPr>
          <w:sz w:val="22"/>
          <w:szCs w:val="22"/>
        </w:rPr>
        <w:t>,</w:t>
      </w:r>
      <w:r w:rsidR="006B77D7" w:rsidRPr="00D20DA9">
        <w:rPr>
          <w:sz w:val="22"/>
          <w:szCs w:val="22"/>
        </w:rPr>
        <w:t xml:space="preserve"> to EBC.</w:t>
      </w:r>
      <w:r w:rsidR="005B2566">
        <w:rPr>
          <w:rStyle w:val="FootnoteReference"/>
          <w:sz w:val="22"/>
          <w:szCs w:val="22"/>
        </w:rPr>
        <w:footnoteReference w:id="18"/>
      </w:r>
      <w:r w:rsidR="006B77D7" w:rsidRPr="00D20DA9">
        <w:rPr>
          <w:sz w:val="22"/>
          <w:szCs w:val="22"/>
        </w:rPr>
        <w:t xml:space="preserve">  EBC then</w:t>
      </w:r>
      <w:r w:rsidR="008A0231">
        <w:rPr>
          <w:sz w:val="22"/>
          <w:szCs w:val="22"/>
        </w:rPr>
        <w:t xml:space="preserve"> </w:t>
      </w:r>
      <w:r>
        <w:rPr>
          <w:sz w:val="22"/>
          <w:szCs w:val="22"/>
        </w:rPr>
        <w:t xml:space="preserve">executed </w:t>
      </w:r>
      <w:r w:rsidR="006B77D7" w:rsidRPr="00D20DA9">
        <w:rPr>
          <w:sz w:val="22"/>
          <w:szCs w:val="22"/>
        </w:rPr>
        <w:t>a</w:t>
      </w:r>
      <w:r w:rsidR="00B87710" w:rsidRPr="00D20DA9">
        <w:rPr>
          <w:sz w:val="22"/>
          <w:szCs w:val="22"/>
        </w:rPr>
        <w:t>nother</w:t>
      </w:r>
      <w:r w:rsidR="006B77D7" w:rsidRPr="00D20DA9">
        <w:rPr>
          <w:sz w:val="22"/>
          <w:szCs w:val="22"/>
        </w:rPr>
        <w:t xml:space="preserve"> Long Term De Facto Lease Agreement (“</w:t>
      </w:r>
      <w:r w:rsidR="00855801" w:rsidRPr="00D20DA9">
        <w:rPr>
          <w:sz w:val="22"/>
          <w:szCs w:val="22"/>
        </w:rPr>
        <w:t xml:space="preserve">Lauderdale </w:t>
      </w:r>
      <w:r w:rsidR="006B77D7" w:rsidRPr="00D20DA9">
        <w:rPr>
          <w:sz w:val="22"/>
          <w:szCs w:val="22"/>
        </w:rPr>
        <w:t>Lease Agreement”)</w:t>
      </w:r>
      <w:r>
        <w:rPr>
          <w:sz w:val="22"/>
          <w:szCs w:val="22"/>
        </w:rPr>
        <w:t>, leasing WLX621’s excess capacity to</w:t>
      </w:r>
      <w:r w:rsidR="00855801" w:rsidRPr="00D20DA9">
        <w:rPr>
          <w:sz w:val="22"/>
          <w:szCs w:val="22"/>
        </w:rPr>
        <w:t xml:space="preserve"> Wisper, LLC.</w:t>
      </w:r>
      <w:r w:rsidR="005B22B2">
        <w:rPr>
          <w:rStyle w:val="FootnoteReference"/>
          <w:sz w:val="22"/>
          <w:szCs w:val="22"/>
        </w:rPr>
        <w:footnoteReference w:id="19"/>
      </w:r>
      <w:r w:rsidR="00855801" w:rsidRPr="00D20DA9">
        <w:rPr>
          <w:sz w:val="22"/>
          <w:szCs w:val="22"/>
        </w:rPr>
        <w:t xml:space="preserve">  EBC reports that Wisper has built out more than 30 new tower sites for Stations WLX817 and WLX621</w:t>
      </w:r>
      <w:r w:rsidR="00B87710" w:rsidRPr="00D20DA9">
        <w:rPr>
          <w:sz w:val="22"/>
          <w:szCs w:val="22"/>
        </w:rPr>
        <w:t>.</w:t>
      </w:r>
      <w:r w:rsidR="005B22B2">
        <w:rPr>
          <w:rStyle w:val="FootnoteReference"/>
          <w:sz w:val="22"/>
          <w:szCs w:val="22"/>
        </w:rPr>
        <w:footnoteReference w:id="20"/>
      </w:r>
    </w:p>
    <w:p w:rsidR="004E554E" w:rsidRDefault="004E554E">
      <w:pPr>
        <w:numPr>
          <w:ilvl w:val="1"/>
          <w:numId w:val="16"/>
        </w:numPr>
        <w:tabs>
          <w:tab w:val="clear" w:pos="2160"/>
          <w:tab w:val="num" w:pos="1440"/>
        </w:tabs>
        <w:spacing w:after="220"/>
        <w:ind w:left="0"/>
        <w:rPr>
          <w:sz w:val="22"/>
          <w:szCs w:val="22"/>
        </w:rPr>
      </w:pPr>
      <w:r>
        <w:rPr>
          <w:sz w:val="22"/>
          <w:szCs w:val="22"/>
        </w:rPr>
        <w:t xml:space="preserve">EBC </w:t>
      </w:r>
      <w:r w:rsidR="00D87263">
        <w:rPr>
          <w:sz w:val="22"/>
          <w:szCs w:val="22"/>
        </w:rPr>
        <w:t xml:space="preserve">is applying for </w:t>
      </w:r>
      <w:r>
        <w:rPr>
          <w:sz w:val="22"/>
          <w:szCs w:val="22"/>
        </w:rPr>
        <w:t xml:space="preserve">the D-group channels in </w:t>
      </w:r>
      <w:r w:rsidR="00855801">
        <w:rPr>
          <w:sz w:val="22"/>
          <w:szCs w:val="22"/>
        </w:rPr>
        <w:t>Madison and</w:t>
      </w:r>
      <w:r w:rsidR="00B87710">
        <w:rPr>
          <w:sz w:val="22"/>
          <w:szCs w:val="22"/>
        </w:rPr>
        <w:t xml:space="preserve"> </w:t>
      </w:r>
      <w:r w:rsidR="00855801">
        <w:rPr>
          <w:sz w:val="22"/>
          <w:szCs w:val="22"/>
        </w:rPr>
        <w:t>the A-group channels in Lauderdale</w:t>
      </w:r>
      <w:r w:rsidR="00E96E91">
        <w:rPr>
          <w:sz w:val="22"/>
          <w:szCs w:val="22"/>
        </w:rPr>
        <w:t>,</w:t>
      </w:r>
      <w:r w:rsidR="00D87263">
        <w:rPr>
          <w:sz w:val="22"/>
          <w:szCs w:val="22"/>
        </w:rPr>
        <w:t xml:space="preserve"> the only EBS channels available in those </w:t>
      </w:r>
      <w:r w:rsidR="00855801">
        <w:rPr>
          <w:sz w:val="22"/>
          <w:szCs w:val="22"/>
        </w:rPr>
        <w:t>market</w:t>
      </w:r>
      <w:r w:rsidR="00D87263">
        <w:rPr>
          <w:sz w:val="22"/>
          <w:szCs w:val="22"/>
        </w:rPr>
        <w:t>s</w:t>
      </w:r>
      <w:r w:rsidR="00855801">
        <w:rPr>
          <w:sz w:val="22"/>
          <w:szCs w:val="22"/>
        </w:rPr>
        <w:t>.</w:t>
      </w:r>
      <w:r w:rsidR="005778D6">
        <w:rPr>
          <w:rStyle w:val="FootnoteReference"/>
          <w:sz w:val="22"/>
          <w:szCs w:val="22"/>
        </w:rPr>
        <w:footnoteReference w:id="21"/>
      </w:r>
      <w:r w:rsidR="00855801">
        <w:rPr>
          <w:sz w:val="22"/>
          <w:szCs w:val="22"/>
        </w:rPr>
        <w:t xml:space="preserve">  The remaining EBS channels in both markets are licensed to EBS-qualified entities and then leased to a commercial operator.</w:t>
      </w:r>
      <w:r w:rsidR="000D65FE">
        <w:rPr>
          <w:rStyle w:val="FootnoteReference"/>
          <w:sz w:val="22"/>
          <w:szCs w:val="22"/>
        </w:rPr>
        <w:footnoteReference w:id="22"/>
      </w:r>
      <w:r w:rsidR="00855801">
        <w:rPr>
          <w:sz w:val="22"/>
          <w:szCs w:val="22"/>
        </w:rPr>
        <w:t xml:space="preserve">  </w:t>
      </w:r>
      <w:r w:rsidR="00F71239">
        <w:rPr>
          <w:sz w:val="22"/>
          <w:szCs w:val="22"/>
        </w:rPr>
        <w:t xml:space="preserve">Thus, </w:t>
      </w:r>
      <w:r w:rsidR="00652F9D">
        <w:rPr>
          <w:sz w:val="22"/>
          <w:szCs w:val="22"/>
        </w:rPr>
        <w:t>EBC</w:t>
      </w:r>
      <w:r>
        <w:rPr>
          <w:sz w:val="22"/>
          <w:szCs w:val="22"/>
        </w:rPr>
        <w:t xml:space="preserve"> asks the Wireless Telecommunications Bureau</w:t>
      </w:r>
      <w:r w:rsidR="00EC0617">
        <w:rPr>
          <w:sz w:val="22"/>
          <w:szCs w:val="22"/>
        </w:rPr>
        <w:t xml:space="preserve"> (“Bureau”)</w:t>
      </w:r>
      <w:r>
        <w:rPr>
          <w:sz w:val="22"/>
          <w:szCs w:val="22"/>
        </w:rPr>
        <w:t xml:space="preserve"> to permit it to operate on the D-group channels in Madison</w:t>
      </w:r>
      <w:r w:rsidR="00F71239">
        <w:rPr>
          <w:sz w:val="22"/>
          <w:szCs w:val="22"/>
        </w:rPr>
        <w:t>, Tennessee with reference poin</w:t>
      </w:r>
      <w:r w:rsidR="00EC0617">
        <w:rPr>
          <w:sz w:val="22"/>
          <w:szCs w:val="22"/>
        </w:rPr>
        <w:t>ts identical to those of EBC’s S</w:t>
      </w:r>
      <w:r w:rsidR="00F71239">
        <w:rPr>
          <w:sz w:val="22"/>
          <w:szCs w:val="22"/>
        </w:rPr>
        <w:t>tation WLX817 (G-group channels)</w:t>
      </w:r>
      <w:r w:rsidR="005505E2">
        <w:rPr>
          <w:rStyle w:val="FootnoteReference"/>
          <w:sz w:val="22"/>
          <w:szCs w:val="22"/>
        </w:rPr>
        <w:footnoteReference w:id="23"/>
      </w:r>
      <w:r w:rsidR="009D1F12">
        <w:rPr>
          <w:sz w:val="22"/>
          <w:szCs w:val="22"/>
        </w:rPr>
        <w:t xml:space="preserve"> and</w:t>
      </w:r>
      <w:r w:rsidR="00EC0617">
        <w:rPr>
          <w:sz w:val="22"/>
          <w:szCs w:val="22"/>
        </w:rPr>
        <w:t xml:space="preserve"> on the A-group channels with reference points identical to those of EBC’s Station WLX621 (G-group channels)  in Lauderdale, Tennessee.</w:t>
      </w:r>
      <w:r w:rsidR="005505E2">
        <w:rPr>
          <w:rStyle w:val="FootnoteReference"/>
          <w:sz w:val="22"/>
          <w:szCs w:val="22"/>
        </w:rPr>
        <w:footnoteReference w:id="24"/>
      </w:r>
      <w:r w:rsidR="00EC0617">
        <w:rPr>
          <w:sz w:val="22"/>
          <w:szCs w:val="22"/>
        </w:rPr>
        <w:t xml:space="preserve">  Because</w:t>
      </w:r>
      <w:r w:rsidR="009D1F12">
        <w:rPr>
          <w:sz w:val="22"/>
          <w:szCs w:val="22"/>
        </w:rPr>
        <w:t xml:space="preserve"> it has tower sites </w:t>
      </w:r>
      <w:r w:rsidR="00EC0617">
        <w:rPr>
          <w:sz w:val="22"/>
          <w:szCs w:val="22"/>
        </w:rPr>
        <w:t xml:space="preserve">under lease with </w:t>
      </w:r>
      <w:r w:rsidR="009D1F12">
        <w:rPr>
          <w:sz w:val="22"/>
          <w:szCs w:val="22"/>
        </w:rPr>
        <w:t xml:space="preserve">the ability to expand throughout </w:t>
      </w:r>
      <w:r w:rsidR="00EC0617">
        <w:rPr>
          <w:sz w:val="22"/>
          <w:szCs w:val="22"/>
        </w:rPr>
        <w:t>both</w:t>
      </w:r>
      <w:r w:rsidR="009D1F12">
        <w:rPr>
          <w:sz w:val="22"/>
          <w:szCs w:val="22"/>
        </w:rPr>
        <w:t xml:space="preserve"> market area</w:t>
      </w:r>
      <w:r w:rsidR="00EC0617">
        <w:rPr>
          <w:sz w:val="22"/>
          <w:szCs w:val="22"/>
        </w:rPr>
        <w:t>s</w:t>
      </w:r>
      <w:r w:rsidR="009D1F12">
        <w:rPr>
          <w:sz w:val="22"/>
          <w:szCs w:val="22"/>
        </w:rPr>
        <w:t xml:space="preserve">, </w:t>
      </w:r>
      <w:r w:rsidR="00EC0617">
        <w:rPr>
          <w:sz w:val="22"/>
          <w:szCs w:val="22"/>
        </w:rPr>
        <w:t>EBC</w:t>
      </w:r>
      <w:r w:rsidR="009D1F12">
        <w:rPr>
          <w:sz w:val="22"/>
          <w:szCs w:val="22"/>
        </w:rPr>
        <w:t xml:space="preserve"> pledges to provide substantial service </w:t>
      </w:r>
      <w:r w:rsidR="00EC0617">
        <w:rPr>
          <w:sz w:val="22"/>
          <w:szCs w:val="22"/>
        </w:rPr>
        <w:t xml:space="preserve">for both channel groups </w:t>
      </w:r>
      <w:r w:rsidR="009D1F12">
        <w:rPr>
          <w:sz w:val="22"/>
          <w:szCs w:val="22"/>
        </w:rPr>
        <w:t xml:space="preserve">in a </w:t>
      </w:r>
      <w:r w:rsidR="00F83B9E">
        <w:rPr>
          <w:sz w:val="22"/>
          <w:szCs w:val="22"/>
        </w:rPr>
        <w:t xml:space="preserve">“very </w:t>
      </w:r>
      <w:r w:rsidR="009D1F12">
        <w:rPr>
          <w:sz w:val="22"/>
          <w:szCs w:val="22"/>
        </w:rPr>
        <w:t>brief period of time.</w:t>
      </w:r>
      <w:r w:rsidR="00F83B9E">
        <w:rPr>
          <w:sz w:val="22"/>
          <w:szCs w:val="22"/>
        </w:rPr>
        <w:t>”</w:t>
      </w:r>
      <w:r w:rsidR="005505E2">
        <w:rPr>
          <w:rStyle w:val="FootnoteReference"/>
          <w:sz w:val="22"/>
          <w:szCs w:val="22"/>
        </w:rPr>
        <w:footnoteReference w:id="25"/>
      </w:r>
    </w:p>
    <w:p w:rsidR="002322BA" w:rsidRDefault="002322BA">
      <w:pPr>
        <w:numPr>
          <w:ilvl w:val="1"/>
          <w:numId w:val="16"/>
        </w:numPr>
        <w:tabs>
          <w:tab w:val="clear" w:pos="2160"/>
          <w:tab w:val="num" w:pos="1440"/>
        </w:tabs>
        <w:spacing w:after="220"/>
        <w:ind w:left="0"/>
        <w:rPr>
          <w:sz w:val="22"/>
          <w:szCs w:val="22"/>
        </w:rPr>
      </w:pPr>
      <w:r w:rsidRPr="009D1F12">
        <w:rPr>
          <w:sz w:val="22"/>
          <w:szCs w:val="22"/>
        </w:rPr>
        <w:t xml:space="preserve">EBC reports that for the past two years, it has spent “a very large amount of time meeting with various schools” in </w:t>
      </w:r>
      <w:r>
        <w:rPr>
          <w:sz w:val="22"/>
          <w:szCs w:val="22"/>
        </w:rPr>
        <w:t xml:space="preserve">Madison and Lauderdale </w:t>
      </w:r>
      <w:r w:rsidRPr="009D1F12">
        <w:rPr>
          <w:sz w:val="22"/>
          <w:szCs w:val="22"/>
        </w:rPr>
        <w:t>to determine how best to meet their needs.</w:t>
      </w:r>
      <w:r>
        <w:rPr>
          <w:rStyle w:val="FootnoteReference"/>
          <w:sz w:val="22"/>
          <w:szCs w:val="22"/>
        </w:rPr>
        <w:footnoteReference w:id="26"/>
      </w:r>
      <w:r w:rsidRPr="009D1F12">
        <w:rPr>
          <w:sz w:val="22"/>
          <w:szCs w:val="22"/>
        </w:rPr>
        <w:t xml:space="preserve">  Through these meetings, EBC learned that two new developments within western Tennessee showed a “large need” for additional bandwidth: a new student laptop program where schools issue laptops to students and a new electronic testing program (voluntary this year, mandatory next) where student</w:t>
      </w:r>
      <w:r>
        <w:rPr>
          <w:sz w:val="22"/>
          <w:szCs w:val="22"/>
        </w:rPr>
        <w:t>s</w:t>
      </w:r>
      <w:r w:rsidRPr="009D1F12">
        <w:rPr>
          <w:sz w:val="22"/>
          <w:szCs w:val="22"/>
        </w:rPr>
        <w:t xml:space="preserve"> will be tested only electronically.</w:t>
      </w:r>
      <w:r>
        <w:rPr>
          <w:rStyle w:val="FootnoteReference"/>
          <w:sz w:val="22"/>
          <w:szCs w:val="22"/>
        </w:rPr>
        <w:footnoteReference w:id="27"/>
      </w:r>
      <w:r w:rsidRPr="009D1F12">
        <w:rPr>
          <w:sz w:val="22"/>
          <w:szCs w:val="22"/>
        </w:rPr>
        <w:t xml:space="preserve">  EBC stresses that neither of these programs were in place at the time EBC entered into </w:t>
      </w:r>
      <w:r>
        <w:rPr>
          <w:sz w:val="22"/>
          <w:szCs w:val="22"/>
        </w:rPr>
        <w:t xml:space="preserve">the Madison or the Lauderdale </w:t>
      </w:r>
      <w:r w:rsidRPr="009D1F12">
        <w:rPr>
          <w:sz w:val="22"/>
          <w:szCs w:val="22"/>
        </w:rPr>
        <w:t>Lease Agreement</w:t>
      </w:r>
      <w:r>
        <w:rPr>
          <w:sz w:val="22"/>
          <w:szCs w:val="22"/>
        </w:rPr>
        <w:t>s</w:t>
      </w:r>
      <w:r w:rsidRPr="009D1F12">
        <w:rPr>
          <w:sz w:val="22"/>
          <w:szCs w:val="22"/>
        </w:rPr>
        <w:t>.</w:t>
      </w:r>
      <w:r>
        <w:rPr>
          <w:rStyle w:val="FootnoteReference"/>
          <w:sz w:val="22"/>
          <w:szCs w:val="22"/>
        </w:rPr>
        <w:footnoteReference w:id="28"/>
      </w:r>
      <w:r w:rsidRPr="009D1F12">
        <w:rPr>
          <w:sz w:val="22"/>
          <w:szCs w:val="22"/>
        </w:rPr>
        <w:t xml:space="preserve">  Although EBC has the ability to recapture some of its spectrum capacity under </w:t>
      </w:r>
      <w:r>
        <w:rPr>
          <w:sz w:val="22"/>
          <w:szCs w:val="22"/>
        </w:rPr>
        <w:t xml:space="preserve">both </w:t>
      </w:r>
      <w:r w:rsidRPr="009D1F12">
        <w:rPr>
          <w:sz w:val="22"/>
          <w:szCs w:val="22"/>
        </w:rPr>
        <w:t xml:space="preserve">the </w:t>
      </w:r>
      <w:r>
        <w:rPr>
          <w:sz w:val="22"/>
          <w:szCs w:val="22"/>
        </w:rPr>
        <w:t xml:space="preserve">Madison and Lauderdale </w:t>
      </w:r>
      <w:r w:rsidRPr="009D1F12">
        <w:rPr>
          <w:sz w:val="22"/>
          <w:szCs w:val="22"/>
        </w:rPr>
        <w:t>Lease Agreement</w:t>
      </w:r>
      <w:r>
        <w:rPr>
          <w:sz w:val="22"/>
          <w:szCs w:val="22"/>
        </w:rPr>
        <w:t>s</w:t>
      </w:r>
      <w:r w:rsidRPr="009D1F12">
        <w:rPr>
          <w:sz w:val="22"/>
          <w:szCs w:val="22"/>
        </w:rPr>
        <w:t xml:space="preserve">, it states that it cannot satisfy the bandwidth needs for these new uses </w:t>
      </w:r>
      <w:r>
        <w:rPr>
          <w:sz w:val="22"/>
          <w:szCs w:val="22"/>
        </w:rPr>
        <w:t xml:space="preserve">in either Madison or Lauderdale </w:t>
      </w:r>
      <w:r w:rsidRPr="009D1F12">
        <w:rPr>
          <w:sz w:val="22"/>
          <w:szCs w:val="22"/>
        </w:rPr>
        <w:t xml:space="preserve">even if it recaptured all 22.5 megahertz of spectrum from </w:t>
      </w:r>
      <w:r>
        <w:rPr>
          <w:sz w:val="22"/>
          <w:szCs w:val="22"/>
        </w:rPr>
        <w:t>both WLX817 and WLX621</w:t>
      </w:r>
      <w:r w:rsidRPr="009D1F12">
        <w:rPr>
          <w:sz w:val="22"/>
          <w:szCs w:val="22"/>
        </w:rPr>
        <w:t xml:space="preserve"> because the concentration of users within and near schools would exceed the existing bandwidth capabilities at those locations.</w:t>
      </w:r>
      <w:r>
        <w:rPr>
          <w:rStyle w:val="FootnoteReference"/>
          <w:sz w:val="22"/>
          <w:szCs w:val="22"/>
        </w:rPr>
        <w:footnoteReference w:id="29"/>
      </w:r>
      <w:r w:rsidRPr="009D1F12">
        <w:rPr>
          <w:sz w:val="22"/>
          <w:szCs w:val="22"/>
        </w:rPr>
        <w:t xml:space="preserve">  And, EBC argues, recapturing this spectrum would distract EBC from its current educational mission.</w:t>
      </w:r>
      <w:r>
        <w:rPr>
          <w:rStyle w:val="FootnoteReference"/>
          <w:sz w:val="22"/>
          <w:szCs w:val="22"/>
        </w:rPr>
        <w:footnoteReference w:id="30"/>
      </w:r>
    </w:p>
    <w:p w:rsidR="008F3059" w:rsidRPr="00E21F8F" w:rsidRDefault="00E21F8F" w:rsidP="00E21F8F">
      <w:pPr>
        <w:numPr>
          <w:ilvl w:val="1"/>
          <w:numId w:val="16"/>
        </w:numPr>
        <w:tabs>
          <w:tab w:val="clear" w:pos="2160"/>
          <w:tab w:val="num" w:pos="1440"/>
        </w:tabs>
        <w:spacing w:after="220"/>
        <w:ind w:left="0"/>
        <w:rPr>
          <w:sz w:val="22"/>
          <w:szCs w:val="22"/>
        </w:rPr>
      </w:pPr>
      <w:r w:rsidRPr="00E21F8F">
        <w:rPr>
          <w:sz w:val="22"/>
          <w:szCs w:val="22"/>
        </w:rPr>
        <w:t>EBC’s applications were listed on public notice as accepted for filing on March 13, 2013.</w:t>
      </w:r>
      <w:r>
        <w:rPr>
          <w:rStyle w:val="FootnoteReference"/>
          <w:sz w:val="22"/>
          <w:szCs w:val="22"/>
        </w:rPr>
        <w:footnoteReference w:id="31"/>
      </w:r>
      <w:r>
        <w:rPr>
          <w:sz w:val="22"/>
          <w:szCs w:val="22"/>
        </w:rPr>
        <w:t xml:space="preserve">  </w:t>
      </w:r>
      <w:r w:rsidR="008F3059" w:rsidRPr="00E21F8F">
        <w:rPr>
          <w:sz w:val="22"/>
          <w:szCs w:val="22"/>
        </w:rPr>
        <w:t>On April 16, 2013, the Catholic Television Network (“CTN”) and the National EBS Association (“NEBSA”), nonprofit organizations that represent a large segment of the EBS community, jointly opposed EBC’s waiver requests for both Madison and Lauderdale.</w:t>
      </w:r>
      <w:r w:rsidR="00831CE6">
        <w:rPr>
          <w:rStyle w:val="FootnoteReference"/>
          <w:sz w:val="22"/>
          <w:szCs w:val="22"/>
        </w:rPr>
        <w:footnoteReference w:id="32"/>
      </w:r>
      <w:r w:rsidR="008F3059" w:rsidRPr="00E21F8F">
        <w:rPr>
          <w:sz w:val="22"/>
          <w:szCs w:val="22"/>
        </w:rPr>
        <w:t xml:space="preserve"> </w:t>
      </w:r>
      <w:r w:rsidR="008F64CF">
        <w:rPr>
          <w:sz w:val="22"/>
          <w:szCs w:val="22"/>
        </w:rPr>
        <w:t xml:space="preserve"> </w:t>
      </w:r>
      <w:r w:rsidR="008F3059" w:rsidRPr="00E21F8F">
        <w:rPr>
          <w:sz w:val="22"/>
          <w:szCs w:val="22"/>
        </w:rPr>
        <w:t xml:space="preserve">They argue that EBC should wait with other interested applicants for any application opportunity that arises following the </w:t>
      </w:r>
      <w:r w:rsidR="00CC2B2A">
        <w:rPr>
          <w:sz w:val="22"/>
          <w:szCs w:val="22"/>
        </w:rPr>
        <w:t xml:space="preserve">Commission’s </w:t>
      </w:r>
      <w:r w:rsidR="008F3059" w:rsidRPr="00E21F8F">
        <w:rPr>
          <w:sz w:val="22"/>
          <w:szCs w:val="22"/>
        </w:rPr>
        <w:t>“white space” decision,</w:t>
      </w:r>
      <w:r w:rsidR="00652F9D" w:rsidRPr="00E21F8F">
        <w:rPr>
          <w:sz w:val="22"/>
          <w:szCs w:val="22"/>
        </w:rPr>
        <w:t xml:space="preserve"> (WT Docket No. 03-66)</w:t>
      </w:r>
      <w:r w:rsidR="008F3059" w:rsidRPr="00E21F8F">
        <w:rPr>
          <w:sz w:val="22"/>
          <w:szCs w:val="22"/>
        </w:rPr>
        <w:t xml:space="preserve"> </w:t>
      </w:r>
      <w:r w:rsidR="00CC2B2A">
        <w:rPr>
          <w:sz w:val="22"/>
          <w:szCs w:val="22"/>
        </w:rPr>
        <w:t>where</w:t>
      </w:r>
      <w:r w:rsidR="008F3059" w:rsidRPr="00E21F8F">
        <w:rPr>
          <w:sz w:val="22"/>
          <w:szCs w:val="22"/>
        </w:rPr>
        <w:t xml:space="preserve"> the Commission will decide on a scheme to license the vacant and available EBS spectrum.</w:t>
      </w:r>
      <w:r w:rsidR="00652F9D">
        <w:rPr>
          <w:rStyle w:val="FootnoteReference"/>
          <w:sz w:val="22"/>
          <w:szCs w:val="22"/>
        </w:rPr>
        <w:footnoteReference w:id="33"/>
      </w:r>
      <w:r w:rsidR="008F3059" w:rsidRPr="00E21F8F">
        <w:rPr>
          <w:sz w:val="22"/>
          <w:szCs w:val="22"/>
        </w:rPr>
        <w:t xml:space="preserve">  They also argue that there is no Commission precedent that makes educational needs alone a valid basis for a waiver seeking permanent licenses.</w:t>
      </w:r>
      <w:r w:rsidR="00652F9D">
        <w:rPr>
          <w:rStyle w:val="FootnoteReference"/>
          <w:sz w:val="22"/>
          <w:szCs w:val="22"/>
        </w:rPr>
        <w:footnoteReference w:id="34"/>
      </w:r>
      <w:r w:rsidR="008F3059" w:rsidRPr="00E21F8F">
        <w:rPr>
          <w:sz w:val="22"/>
          <w:szCs w:val="22"/>
        </w:rPr>
        <w:t xml:space="preserve">  </w:t>
      </w:r>
      <w:r w:rsidR="00831CE6" w:rsidRPr="00E21F8F">
        <w:rPr>
          <w:sz w:val="22"/>
          <w:szCs w:val="22"/>
        </w:rPr>
        <w:t>EBC</w:t>
      </w:r>
      <w:r w:rsidR="00CC2B2A">
        <w:rPr>
          <w:sz w:val="22"/>
          <w:szCs w:val="22"/>
        </w:rPr>
        <w:t xml:space="preserve"> </w:t>
      </w:r>
      <w:r w:rsidR="00E96E91">
        <w:rPr>
          <w:sz w:val="22"/>
          <w:szCs w:val="22"/>
        </w:rPr>
        <w:t xml:space="preserve">urges the Bureau to disregard </w:t>
      </w:r>
      <w:r w:rsidR="00831CE6" w:rsidRPr="00E21F8F">
        <w:rPr>
          <w:sz w:val="22"/>
          <w:szCs w:val="22"/>
        </w:rPr>
        <w:t>CTN</w:t>
      </w:r>
      <w:r w:rsidR="00E96E91">
        <w:rPr>
          <w:sz w:val="22"/>
          <w:szCs w:val="22"/>
        </w:rPr>
        <w:t>’s</w:t>
      </w:r>
      <w:r w:rsidR="00831CE6" w:rsidRPr="00E21F8F">
        <w:rPr>
          <w:sz w:val="22"/>
          <w:szCs w:val="22"/>
        </w:rPr>
        <w:t xml:space="preserve"> and NEBSA</w:t>
      </w:r>
      <w:r w:rsidR="00E96E91">
        <w:rPr>
          <w:sz w:val="22"/>
          <w:szCs w:val="22"/>
        </w:rPr>
        <w:t>’s opposition because they</w:t>
      </w:r>
      <w:r w:rsidR="00831CE6" w:rsidRPr="00E21F8F">
        <w:rPr>
          <w:sz w:val="22"/>
          <w:szCs w:val="22"/>
        </w:rPr>
        <w:t xml:space="preserve"> lack stand</w:t>
      </w:r>
      <w:r w:rsidR="00CC2B2A">
        <w:rPr>
          <w:sz w:val="22"/>
          <w:szCs w:val="22"/>
        </w:rPr>
        <w:t>ing</w:t>
      </w:r>
      <w:r w:rsidR="00831CE6" w:rsidRPr="00E21F8F">
        <w:rPr>
          <w:sz w:val="22"/>
          <w:szCs w:val="22"/>
        </w:rPr>
        <w:t>.</w:t>
      </w:r>
      <w:r w:rsidR="00831CE6">
        <w:rPr>
          <w:rStyle w:val="FootnoteReference"/>
          <w:sz w:val="22"/>
          <w:szCs w:val="22"/>
        </w:rPr>
        <w:footnoteReference w:id="35"/>
      </w:r>
    </w:p>
    <w:p w:rsidR="00372335" w:rsidRDefault="00372335">
      <w:pPr>
        <w:pStyle w:val="Heading1"/>
        <w:spacing w:before="0" w:after="220"/>
        <w:rPr>
          <w:rFonts w:ascii="Times New Roman" w:hAnsi="Times New Roman"/>
          <w:sz w:val="22"/>
        </w:rPr>
      </w:pPr>
      <w:r>
        <w:rPr>
          <w:rFonts w:ascii="Times New Roman" w:hAnsi="Times New Roman"/>
          <w:sz w:val="22"/>
        </w:rPr>
        <w:t>III.</w:t>
      </w:r>
      <w:r>
        <w:rPr>
          <w:rFonts w:ascii="Times New Roman" w:hAnsi="Times New Roman"/>
          <w:sz w:val="22"/>
        </w:rPr>
        <w:tab/>
        <w:t>DISCUSSION</w:t>
      </w:r>
    </w:p>
    <w:p w:rsidR="004D70D6" w:rsidRDefault="004D70D6">
      <w:pPr>
        <w:numPr>
          <w:ilvl w:val="1"/>
          <w:numId w:val="16"/>
        </w:numPr>
        <w:tabs>
          <w:tab w:val="clear" w:pos="2160"/>
          <w:tab w:val="num" w:pos="1440"/>
        </w:tabs>
        <w:spacing w:after="220"/>
        <w:ind w:left="0"/>
        <w:rPr>
          <w:sz w:val="22"/>
          <w:szCs w:val="22"/>
        </w:rPr>
      </w:pPr>
      <w:r>
        <w:rPr>
          <w:sz w:val="22"/>
          <w:szCs w:val="22"/>
        </w:rPr>
        <w:t>As a preliminary matter, we will consider the objection filed by CTN and NEBSA as an informal objection filed under Section 1.41 of the Commission’s Rules, which does not require standing.</w:t>
      </w:r>
      <w:r>
        <w:rPr>
          <w:rStyle w:val="FootnoteReference"/>
          <w:sz w:val="22"/>
          <w:szCs w:val="22"/>
        </w:rPr>
        <w:footnoteReference w:id="36"/>
      </w:r>
      <w:r>
        <w:rPr>
          <w:sz w:val="22"/>
          <w:szCs w:val="22"/>
        </w:rPr>
        <w:t xml:space="preserve">  Thus, we decline to address EBC’s argument that CTN and NEBSA lack standing to object to its waiver requests.</w:t>
      </w:r>
    </w:p>
    <w:p w:rsidR="00372335" w:rsidRDefault="004D70D6">
      <w:pPr>
        <w:numPr>
          <w:ilvl w:val="1"/>
          <w:numId w:val="16"/>
        </w:numPr>
        <w:tabs>
          <w:tab w:val="clear" w:pos="2160"/>
          <w:tab w:val="num" w:pos="1440"/>
        </w:tabs>
        <w:spacing w:after="220"/>
        <w:ind w:left="0"/>
        <w:rPr>
          <w:sz w:val="22"/>
          <w:szCs w:val="22"/>
        </w:rPr>
      </w:pPr>
      <w:r>
        <w:rPr>
          <w:sz w:val="22"/>
          <w:szCs w:val="22"/>
        </w:rPr>
        <w:t xml:space="preserve"> </w:t>
      </w:r>
      <w:r w:rsidR="00591A1A">
        <w:rPr>
          <w:sz w:val="22"/>
          <w:szCs w:val="22"/>
        </w:rPr>
        <w:t xml:space="preserve">As explained </w:t>
      </w:r>
      <w:r w:rsidR="006563F7">
        <w:rPr>
          <w:sz w:val="22"/>
          <w:szCs w:val="22"/>
        </w:rPr>
        <w:t xml:space="preserve">above, to </w:t>
      </w:r>
      <w:r w:rsidR="007D601E">
        <w:rPr>
          <w:sz w:val="22"/>
          <w:szCs w:val="22"/>
        </w:rPr>
        <w:t>enable it to apply for additional EBS spectrum</w:t>
      </w:r>
      <w:r w:rsidR="006563F7">
        <w:rPr>
          <w:sz w:val="22"/>
          <w:szCs w:val="22"/>
        </w:rPr>
        <w:t>, EBC seeks waiver</w:t>
      </w:r>
      <w:r w:rsidR="00CC2B2A">
        <w:rPr>
          <w:sz w:val="22"/>
          <w:szCs w:val="22"/>
        </w:rPr>
        <w:t>s</w:t>
      </w:r>
      <w:r w:rsidR="006563F7">
        <w:rPr>
          <w:sz w:val="22"/>
          <w:szCs w:val="22"/>
        </w:rPr>
        <w:t xml:space="preserve"> of the filing freeze on new EBS applications and waiver</w:t>
      </w:r>
      <w:r w:rsidR="00CC2B2A">
        <w:rPr>
          <w:sz w:val="22"/>
          <w:szCs w:val="22"/>
        </w:rPr>
        <w:t>s</w:t>
      </w:r>
      <w:r w:rsidR="006563F7">
        <w:rPr>
          <w:sz w:val="22"/>
          <w:szCs w:val="22"/>
        </w:rPr>
        <w:t xml:space="preserve"> of the electronic filing requirements.  </w:t>
      </w:r>
      <w:r w:rsidR="00421D3C">
        <w:rPr>
          <w:sz w:val="22"/>
          <w:szCs w:val="22"/>
        </w:rPr>
        <w:t>To receive a waiver u</w:t>
      </w:r>
      <w:r w:rsidR="00F97F82">
        <w:rPr>
          <w:sz w:val="22"/>
          <w:szCs w:val="22"/>
        </w:rPr>
        <w:t xml:space="preserve">nder the Commission’s Rules, EBC must show that </w:t>
      </w:r>
      <w:r w:rsidR="00372335">
        <w:rPr>
          <w:sz w:val="22"/>
          <w:szCs w:val="22"/>
        </w:rPr>
        <w:t xml:space="preserve">(i) the underlying purpose of the </w:t>
      </w:r>
      <w:r w:rsidR="00FF064B">
        <w:rPr>
          <w:sz w:val="22"/>
          <w:szCs w:val="22"/>
        </w:rPr>
        <w:t>rule(s)</w:t>
      </w:r>
      <w:r w:rsidR="00372335">
        <w:rPr>
          <w:sz w:val="22"/>
          <w:szCs w:val="22"/>
        </w:rPr>
        <w:t xml:space="preserve"> would not be served or would be frustrated by appl</w:t>
      </w:r>
      <w:r w:rsidR="00421D3C">
        <w:rPr>
          <w:sz w:val="22"/>
          <w:szCs w:val="22"/>
        </w:rPr>
        <w:t>ying it to EBC’s case</w:t>
      </w:r>
      <w:r w:rsidR="00372335">
        <w:rPr>
          <w:sz w:val="22"/>
          <w:szCs w:val="22"/>
        </w:rPr>
        <w:t xml:space="preserve">, and that a grant of </w:t>
      </w:r>
      <w:r w:rsidR="00421D3C">
        <w:rPr>
          <w:sz w:val="22"/>
          <w:szCs w:val="22"/>
        </w:rPr>
        <w:t>its</w:t>
      </w:r>
      <w:r w:rsidR="00372335">
        <w:rPr>
          <w:sz w:val="22"/>
          <w:szCs w:val="22"/>
        </w:rPr>
        <w:t xml:space="preserve"> waiver </w:t>
      </w:r>
      <w:r w:rsidR="00421D3C">
        <w:rPr>
          <w:sz w:val="22"/>
          <w:szCs w:val="22"/>
        </w:rPr>
        <w:t xml:space="preserve">request </w:t>
      </w:r>
      <w:r w:rsidR="00372335">
        <w:rPr>
          <w:sz w:val="22"/>
          <w:szCs w:val="22"/>
        </w:rPr>
        <w:t xml:space="preserve">would be in the public interest; or (ii) in view of unique or unusual factual circumstances of the </w:t>
      </w:r>
      <w:r w:rsidR="001532D7">
        <w:rPr>
          <w:sz w:val="22"/>
          <w:szCs w:val="22"/>
        </w:rPr>
        <w:t>its</w:t>
      </w:r>
      <w:r w:rsidR="00372335">
        <w:rPr>
          <w:sz w:val="22"/>
          <w:szCs w:val="22"/>
        </w:rPr>
        <w:t xml:space="preserve"> case, application of the rule(s) would be inequitable, unduly burdensome or contrary to the public interest, or t</w:t>
      </w:r>
      <w:r w:rsidR="001532D7">
        <w:rPr>
          <w:sz w:val="22"/>
          <w:szCs w:val="22"/>
        </w:rPr>
        <w:t>hat it</w:t>
      </w:r>
      <w:r w:rsidR="00372335">
        <w:rPr>
          <w:sz w:val="22"/>
          <w:szCs w:val="22"/>
        </w:rPr>
        <w:t xml:space="preserve"> has no reasonable alternative.</w:t>
      </w:r>
      <w:r w:rsidR="00372335">
        <w:rPr>
          <w:rStyle w:val="FootnoteReference"/>
          <w:sz w:val="22"/>
          <w:szCs w:val="22"/>
        </w:rPr>
        <w:footnoteReference w:id="37"/>
      </w:r>
      <w:r w:rsidR="00FF3C8F">
        <w:rPr>
          <w:sz w:val="22"/>
          <w:szCs w:val="22"/>
        </w:rPr>
        <w:t xml:space="preserve">  </w:t>
      </w:r>
    </w:p>
    <w:p w:rsidR="00835836" w:rsidRPr="00835836" w:rsidRDefault="00835836" w:rsidP="00835836">
      <w:pPr>
        <w:numPr>
          <w:ilvl w:val="1"/>
          <w:numId w:val="16"/>
        </w:numPr>
        <w:tabs>
          <w:tab w:val="clear" w:pos="2160"/>
          <w:tab w:val="num" w:pos="1440"/>
        </w:tabs>
        <w:spacing w:after="220"/>
        <w:ind w:left="0"/>
        <w:rPr>
          <w:sz w:val="22"/>
          <w:szCs w:val="22"/>
        </w:rPr>
      </w:pPr>
      <w:r w:rsidRPr="00835836">
        <w:rPr>
          <w:sz w:val="22"/>
          <w:szCs w:val="22"/>
        </w:rPr>
        <w:t xml:space="preserve">With respect to the electronic filing requirement contained in Section 1.913(b) of the Commission’s Rules,  we observe that  the Commission’s electronic Universal Licensing System (ULS) is not currently configured to accept applications such as the one submitted by </w:t>
      </w:r>
      <w:r>
        <w:rPr>
          <w:sz w:val="22"/>
          <w:szCs w:val="22"/>
        </w:rPr>
        <w:t>EBC</w:t>
      </w:r>
      <w:r w:rsidRPr="00835836">
        <w:rPr>
          <w:sz w:val="22"/>
          <w:szCs w:val="22"/>
        </w:rPr>
        <w:t xml:space="preserve">.  We therefore conclude that, in light of these circumstances, application of the rule would be inequitable and contrary to the public interest because it would be unfair to reject an application for failure to file electronically when electronic filing capability is not available.  We therefore grant </w:t>
      </w:r>
      <w:r>
        <w:rPr>
          <w:sz w:val="22"/>
          <w:szCs w:val="22"/>
        </w:rPr>
        <w:t>EBC</w:t>
      </w:r>
      <w:r w:rsidRPr="00835836">
        <w:rPr>
          <w:sz w:val="22"/>
          <w:szCs w:val="22"/>
        </w:rPr>
        <w:t xml:space="preserve"> a waiver to permit manual filing of its </w:t>
      </w:r>
      <w:r>
        <w:rPr>
          <w:sz w:val="22"/>
          <w:szCs w:val="22"/>
        </w:rPr>
        <w:t>a</w:t>
      </w:r>
      <w:r w:rsidRPr="00835836">
        <w:rPr>
          <w:sz w:val="22"/>
          <w:szCs w:val="22"/>
        </w:rPr>
        <w:t>pplications.</w:t>
      </w:r>
    </w:p>
    <w:p w:rsidR="00642C4B" w:rsidRDefault="00C90007" w:rsidP="00FD5453">
      <w:pPr>
        <w:numPr>
          <w:ilvl w:val="1"/>
          <w:numId w:val="16"/>
        </w:numPr>
        <w:tabs>
          <w:tab w:val="clear" w:pos="2160"/>
          <w:tab w:val="num" w:pos="1440"/>
        </w:tabs>
        <w:spacing w:after="220"/>
        <w:ind w:left="0"/>
        <w:rPr>
          <w:sz w:val="22"/>
          <w:szCs w:val="22"/>
        </w:rPr>
      </w:pPr>
      <w:r>
        <w:rPr>
          <w:sz w:val="22"/>
          <w:szCs w:val="22"/>
        </w:rPr>
        <w:t xml:space="preserve">We find that EBC has not justified a waiver of the filing freeze because it has not shown an immediate need for </w:t>
      </w:r>
      <w:r w:rsidR="00AB329B">
        <w:rPr>
          <w:sz w:val="22"/>
          <w:szCs w:val="22"/>
        </w:rPr>
        <w:t xml:space="preserve">the requested spectrum.  </w:t>
      </w:r>
      <w:r w:rsidR="00FD5453">
        <w:rPr>
          <w:sz w:val="22"/>
          <w:szCs w:val="22"/>
        </w:rPr>
        <w:t xml:space="preserve">EBC </w:t>
      </w:r>
      <w:r w:rsidR="00642C4B">
        <w:rPr>
          <w:sz w:val="22"/>
          <w:szCs w:val="22"/>
        </w:rPr>
        <w:t>argues that</w:t>
      </w:r>
      <w:r w:rsidR="00922E21">
        <w:rPr>
          <w:sz w:val="22"/>
          <w:szCs w:val="22"/>
        </w:rPr>
        <w:t xml:space="preserve"> because of</w:t>
      </w:r>
      <w:r w:rsidR="00642C4B">
        <w:rPr>
          <w:sz w:val="22"/>
          <w:szCs w:val="22"/>
        </w:rPr>
        <w:t xml:space="preserve"> its unique factual circumstances, it is contrary to the public interest to apply the EBS filing freeze to its case.</w:t>
      </w:r>
      <w:r w:rsidR="00DB34F0">
        <w:rPr>
          <w:rStyle w:val="FootnoteReference"/>
          <w:sz w:val="22"/>
          <w:szCs w:val="22"/>
        </w:rPr>
        <w:footnoteReference w:id="38"/>
      </w:r>
      <w:r w:rsidR="006E751B">
        <w:rPr>
          <w:sz w:val="22"/>
          <w:szCs w:val="22"/>
        </w:rPr>
        <w:t xml:space="preserve"> </w:t>
      </w:r>
      <w:r w:rsidR="00642C4B">
        <w:rPr>
          <w:sz w:val="22"/>
          <w:szCs w:val="22"/>
        </w:rPr>
        <w:t xml:space="preserve"> </w:t>
      </w:r>
      <w:r w:rsidR="00D2052C">
        <w:rPr>
          <w:sz w:val="22"/>
          <w:szCs w:val="22"/>
        </w:rPr>
        <w:t xml:space="preserve">EBC </w:t>
      </w:r>
      <w:r w:rsidR="00243563">
        <w:rPr>
          <w:sz w:val="22"/>
          <w:szCs w:val="22"/>
        </w:rPr>
        <w:t>states</w:t>
      </w:r>
      <w:r w:rsidR="00D2052C">
        <w:rPr>
          <w:sz w:val="22"/>
          <w:szCs w:val="22"/>
        </w:rPr>
        <w:t xml:space="preserve"> that b</w:t>
      </w:r>
      <w:r w:rsidR="00642C4B">
        <w:rPr>
          <w:sz w:val="22"/>
          <w:szCs w:val="22"/>
        </w:rPr>
        <w:t>ecause Madison and Lauderdale are rural, somewhat depressed areas, more than 50 percent of students do not have i</w:t>
      </w:r>
      <w:r w:rsidR="00C15EF5">
        <w:rPr>
          <w:sz w:val="22"/>
          <w:szCs w:val="22"/>
        </w:rPr>
        <w:t>nternet access at home;</w:t>
      </w:r>
      <w:r w:rsidR="00642C4B">
        <w:rPr>
          <w:sz w:val="22"/>
          <w:szCs w:val="22"/>
        </w:rPr>
        <w:t xml:space="preserve"> </w:t>
      </w:r>
      <w:r w:rsidR="00C15EF5">
        <w:rPr>
          <w:sz w:val="22"/>
          <w:szCs w:val="22"/>
        </w:rPr>
        <w:t>thus</w:t>
      </w:r>
      <w:r w:rsidR="00642C4B">
        <w:rPr>
          <w:sz w:val="22"/>
          <w:szCs w:val="22"/>
        </w:rPr>
        <w:t>, most students must access the internet from school</w:t>
      </w:r>
      <w:r w:rsidR="00C15EF5">
        <w:rPr>
          <w:sz w:val="22"/>
          <w:szCs w:val="22"/>
        </w:rPr>
        <w:t>.</w:t>
      </w:r>
      <w:r w:rsidR="00BD4408">
        <w:rPr>
          <w:rStyle w:val="FootnoteReference"/>
          <w:sz w:val="22"/>
          <w:szCs w:val="22"/>
        </w:rPr>
        <w:footnoteReference w:id="39"/>
      </w:r>
      <w:r w:rsidR="00C15EF5">
        <w:rPr>
          <w:sz w:val="22"/>
          <w:szCs w:val="22"/>
        </w:rPr>
        <w:t xml:space="preserve">  S</w:t>
      </w:r>
      <w:r w:rsidR="00642C4B">
        <w:rPr>
          <w:sz w:val="22"/>
          <w:szCs w:val="22"/>
        </w:rPr>
        <w:t xml:space="preserve">ince the schools adopted the laptop program and the electronic testing requirement, </w:t>
      </w:r>
      <w:r w:rsidR="00C15EF5">
        <w:rPr>
          <w:sz w:val="22"/>
          <w:szCs w:val="22"/>
        </w:rPr>
        <w:t xml:space="preserve">however, </w:t>
      </w:r>
      <w:r w:rsidR="00642C4B">
        <w:rPr>
          <w:sz w:val="22"/>
          <w:szCs w:val="22"/>
        </w:rPr>
        <w:t xml:space="preserve">the schools </w:t>
      </w:r>
      <w:r w:rsidR="00C15EF5">
        <w:rPr>
          <w:sz w:val="22"/>
          <w:szCs w:val="22"/>
        </w:rPr>
        <w:t xml:space="preserve">will </w:t>
      </w:r>
      <w:r w:rsidR="00642C4B">
        <w:rPr>
          <w:sz w:val="22"/>
          <w:szCs w:val="22"/>
        </w:rPr>
        <w:t>hav</w:t>
      </w:r>
      <w:r w:rsidR="00C15EF5">
        <w:rPr>
          <w:sz w:val="22"/>
          <w:szCs w:val="22"/>
        </w:rPr>
        <w:t>e</w:t>
      </w:r>
      <w:r w:rsidR="00642C4B">
        <w:rPr>
          <w:sz w:val="22"/>
          <w:szCs w:val="22"/>
        </w:rPr>
        <w:t xml:space="preserve"> </w:t>
      </w:r>
      <w:r w:rsidR="0080367B">
        <w:rPr>
          <w:sz w:val="22"/>
          <w:szCs w:val="22"/>
        </w:rPr>
        <w:t>in</w:t>
      </w:r>
      <w:r w:rsidR="00642C4B">
        <w:rPr>
          <w:sz w:val="22"/>
          <w:szCs w:val="22"/>
        </w:rPr>
        <w:t>sufficient capacity to meet these new demands on their networks</w:t>
      </w:r>
      <w:r w:rsidR="00D2052C">
        <w:rPr>
          <w:sz w:val="22"/>
          <w:szCs w:val="22"/>
        </w:rPr>
        <w:t>—EBC states that</w:t>
      </w:r>
      <w:r w:rsidR="00642C4B">
        <w:rPr>
          <w:sz w:val="22"/>
          <w:szCs w:val="22"/>
        </w:rPr>
        <w:t xml:space="preserve"> even the schools’ fiber networks will strained under these new demands.</w:t>
      </w:r>
      <w:r w:rsidR="008D5CAB">
        <w:rPr>
          <w:rStyle w:val="FootnoteReference"/>
          <w:sz w:val="22"/>
          <w:szCs w:val="22"/>
        </w:rPr>
        <w:footnoteReference w:id="40"/>
      </w:r>
      <w:r w:rsidR="00642C4B">
        <w:rPr>
          <w:sz w:val="22"/>
          <w:szCs w:val="22"/>
        </w:rPr>
        <w:t xml:space="preserve">  </w:t>
      </w:r>
      <w:r w:rsidR="00C15EF5">
        <w:rPr>
          <w:sz w:val="22"/>
          <w:szCs w:val="22"/>
        </w:rPr>
        <w:t>EBC argues that i</w:t>
      </w:r>
      <w:r w:rsidR="00642C4B">
        <w:rPr>
          <w:sz w:val="22"/>
          <w:szCs w:val="22"/>
        </w:rPr>
        <w:t xml:space="preserve">f the D-group channels in Madison and the A-group channels in Lauderdale are licensed to </w:t>
      </w:r>
      <w:r w:rsidR="00243563">
        <w:rPr>
          <w:sz w:val="22"/>
          <w:szCs w:val="22"/>
        </w:rPr>
        <w:t xml:space="preserve">it, </w:t>
      </w:r>
      <w:r w:rsidR="00A81D62">
        <w:rPr>
          <w:sz w:val="22"/>
          <w:szCs w:val="22"/>
        </w:rPr>
        <w:t xml:space="preserve">it </w:t>
      </w:r>
      <w:r w:rsidR="00642C4B">
        <w:rPr>
          <w:sz w:val="22"/>
          <w:szCs w:val="22"/>
        </w:rPr>
        <w:t>can help solve this problem because it has tower sites under lease in both Madison and Lauderdale with the ability to expand throughout the Madison and Lauderdale areas.</w:t>
      </w:r>
      <w:r w:rsidR="00E71011">
        <w:rPr>
          <w:rStyle w:val="FootnoteReference"/>
          <w:sz w:val="22"/>
          <w:szCs w:val="22"/>
        </w:rPr>
        <w:footnoteReference w:id="41"/>
      </w:r>
      <w:r w:rsidR="00642C4B">
        <w:rPr>
          <w:sz w:val="22"/>
          <w:szCs w:val="22"/>
        </w:rPr>
        <w:t xml:space="preserve">  EBC also argues that it did not know of these new requirements when it entered into either the Madison or Lauderdale Lease Agreements.</w:t>
      </w:r>
      <w:r w:rsidR="00AE6106">
        <w:rPr>
          <w:rStyle w:val="FootnoteReference"/>
          <w:sz w:val="22"/>
          <w:szCs w:val="22"/>
        </w:rPr>
        <w:footnoteReference w:id="42"/>
      </w:r>
      <w:r w:rsidR="00AE6106">
        <w:rPr>
          <w:sz w:val="22"/>
          <w:szCs w:val="22"/>
        </w:rPr>
        <w:t xml:space="preserve"> </w:t>
      </w:r>
      <w:r w:rsidR="00642C4B">
        <w:rPr>
          <w:sz w:val="22"/>
          <w:szCs w:val="22"/>
        </w:rPr>
        <w:t xml:space="preserve">  </w:t>
      </w:r>
      <w:r w:rsidR="00293E89">
        <w:rPr>
          <w:sz w:val="22"/>
          <w:szCs w:val="22"/>
        </w:rPr>
        <w:t>EBC argues that a grant of its waive</w:t>
      </w:r>
      <w:r w:rsidR="00436B3E">
        <w:rPr>
          <w:sz w:val="22"/>
          <w:szCs w:val="22"/>
        </w:rPr>
        <w:t>r</w:t>
      </w:r>
      <w:r w:rsidR="00293E89">
        <w:rPr>
          <w:sz w:val="22"/>
          <w:szCs w:val="22"/>
        </w:rPr>
        <w:t xml:space="preserve"> requests is in the public interest because additional educational spectrum in rural Tennessee would further the </w:t>
      </w:r>
      <w:r w:rsidR="00436B3E">
        <w:rPr>
          <w:sz w:val="22"/>
          <w:szCs w:val="22"/>
        </w:rPr>
        <w:t xml:space="preserve">goals of the </w:t>
      </w:r>
      <w:r w:rsidR="00293E89">
        <w:rPr>
          <w:sz w:val="22"/>
          <w:szCs w:val="22"/>
        </w:rPr>
        <w:t>National Broadband Plan, would not harm any other party, and would provide a more balanced opportunity for K-12 to have access to educational spectrum.</w:t>
      </w:r>
      <w:r w:rsidR="00AE6106">
        <w:rPr>
          <w:rStyle w:val="FootnoteReference"/>
          <w:sz w:val="22"/>
          <w:szCs w:val="22"/>
        </w:rPr>
        <w:footnoteReference w:id="43"/>
      </w:r>
      <w:r w:rsidR="00293E89">
        <w:rPr>
          <w:sz w:val="22"/>
          <w:szCs w:val="22"/>
        </w:rPr>
        <w:t xml:space="preserve">  </w:t>
      </w:r>
      <w:r w:rsidR="00D2052C">
        <w:rPr>
          <w:sz w:val="22"/>
          <w:szCs w:val="22"/>
        </w:rPr>
        <w:t>Also, EBC argues, a grant of its waiver requests is in the public interest because the filing freeze frustrates a licensee’s ability to grow.</w:t>
      </w:r>
      <w:r w:rsidR="00AE6106">
        <w:rPr>
          <w:rStyle w:val="FootnoteReference"/>
          <w:sz w:val="22"/>
          <w:szCs w:val="22"/>
        </w:rPr>
        <w:footnoteReference w:id="44"/>
      </w:r>
    </w:p>
    <w:p w:rsidR="00F77535" w:rsidRDefault="00F77535" w:rsidP="00F77535">
      <w:pPr>
        <w:numPr>
          <w:ilvl w:val="1"/>
          <w:numId w:val="16"/>
        </w:numPr>
        <w:tabs>
          <w:tab w:val="clear" w:pos="2160"/>
          <w:tab w:val="num" w:pos="1440"/>
        </w:tabs>
        <w:spacing w:after="220"/>
        <w:ind w:left="0"/>
        <w:rPr>
          <w:sz w:val="22"/>
          <w:szCs w:val="22"/>
        </w:rPr>
      </w:pPr>
      <w:r>
        <w:rPr>
          <w:sz w:val="22"/>
          <w:szCs w:val="22"/>
        </w:rPr>
        <w:t>Although we are sympathetic to the needs of students in Madison</w:t>
      </w:r>
      <w:r w:rsidR="00830381">
        <w:rPr>
          <w:sz w:val="22"/>
          <w:szCs w:val="22"/>
        </w:rPr>
        <w:t xml:space="preserve"> and Lauderdale</w:t>
      </w:r>
      <w:r>
        <w:rPr>
          <w:sz w:val="22"/>
          <w:szCs w:val="22"/>
        </w:rPr>
        <w:t xml:space="preserve">, we find that EBC has not met its burden to show that it is contrary to the public interest to impose the </w:t>
      </w:r>
      <w:r w:rsidR="002D0204">
        <w:rPr>
          <w:sz w:val="22"/>
          <w:szCs w:val="22"/>
        </w:rPr>
        <w:t xml:space="preserve">EBS </w:t>
      </w:r>
      <w:r>
        <w:rPr>
          <w:sz w:val="22"/>
          <w:szCs w:val="22"/>
        </w:rPr>
        <w:t xml:space="preserve">filing freeze.  We find that it is not in the public interest to grant EBC’s waiver request because EBC </w:t>
      </w:r>
      <w:r w:rsidR="00830381">
        <w:rPr>
          <w:sz w:val="22"/>
          <w:szCs w:val="22"/>
        </w:rPr>
        <w:t xml:space="preserve">already </w:t>
      </w:r>
      <w:r>
        <w:rPr>
          <w:sz w:val="22"/>
          <w:szCs w:val="22"/>
        </w:rPr>
        <w:t xml:space="preserve">has access to 22.5 megahertz of spectrum in both Madison and Lauderdale through </w:t>
      </w:r>
      <w:r w:rsidR="00D3215B">
        <w:rPr>
          <w:sz w:val="22"/>
          <w:szCs w:val="22"/>
        </w:rPr>
        <w:t xml:space="preserve">Stations </w:t>
      </w:r>
      <w:r>
        <w:rPr>
          <w:sz w:val="22"/>
          <w:szCs w:val="22"/>
        </w:rPr>
        <w:t>WLX817 and WLX621</w:t>
      </w:r>
      <w:r w:rsidR="00533374">
        <w:rPr>
          <w:sz w:val="22"/>
          <w:szCs w:val="22"/>
        </w:rPr>
        <w:t>, respectively</w:t>
      </w:r>
      <w:r w:rsidR="00930F79">
        <w:rPr>
          <w:sz w:val="22"/>
          <w:szCs w:val="22"/>
        </w:rPr>
        <w:t>;</w:t>
      </w:r>
      <w:r w:rsidR="00533374">
        <w:rPr>
          <w:sz w:val="22"/>
          <w:szCs w:val="22"/>
        </w:rPr>
        <w:t xml:space="preserve"> </w:t>
      </w:r>
      <w:r w:rsidR="00930F79">
        <w:rPr>
          <w:sz w:val="22"/>
          <w:szCs w:val="22"/>
        </w:rPr>
        <w:t>EBC is leasing “excess capacity</w:t>
      </w:r>
      <w:r w:rsidR="00E21F8F">
        <w:rPr>
          <w:sz w:val="22"/>
          <w:szCs w:val="22"/>
        </w:rPr>
        <w:t>”</w:t>
      </w:r>
      <w:r>
        <w:rPr>
          <w:sz w:val="22"/>
          <w:szCs w:val="22"/>
        </w:rPr>
        <w:t xml:space="preserve"> </w:t>
      </w:r>
      <w:r w:rsidR="00930F79">
        <w:rPr>
          <w:sz w:val="22"/>
          <w:szCs w:val="22"/>
        </w:rPr>
        <w:t>to Wisper, a commercial provider o</w:t>
      </w:r>
      <w:r w:rsidR="00D2052C">
        <w:rPr>
          <w:sz w:val="22"/>
          <w:szCs w:val="22"/>
        </w:rPr>
        <w:t>f</w:t>
      </w:r>
      <w:r w:rsidR="00930F79">
        <w:rPr>
          <w:sz w:val="22"/>
          <w:szCs w:val="22"/>
        </w:rPr>
        <w:t xml:space="preserve"> internet services</w:t>
      </w:r>
      <w:r w:rsidR="00D3215B">
        <w:rPr>
          <w:sz w:val="22"/>
          <w:szCs w:val="22"/>
        </w:rPr>
        <w:t>; and EBC has not shown that it has a need for additional spectrum or that additional spectrum would meet its claimed needs</w:t>
      </w:r>
      <w:r w:rsidR="00930F79">
        <w:rPr>
          <w:sz w:val="22"/>
          <w:szCs w:val="22"/>
        </w:rPr>
        <w:t>.</w:t>
      </w:r>
    </w:p>
    <w:p w:rsidR="00F77535" w:rsidRDefault="0001220B">
      <w:pPr>
        <w:numPr>
          <w:ilvl w:val="1"/>
          <w:numId w:val="16"/>
        </w:numPr>
        <w:tabs>
          <w:tab w:val="clear" w:pos="2160"/>
          <w:tab w:val="num" w:pos="1440"/>
        </w:tabs>
        <w:spacing w:after="220"/>
        <w:ind w:left="0"/>
        <w:rPr>
          <w:sz w:val="22"/>
          <w:szCs w:val="22"/>
        </w:rPr>
      </w:pPr>
      <w:r>
        <w:rPr>
          <w:sz w:val="22"/>
          <w:szCs w:val="22"/>
        </w:rPr>
        <w:t>We find that it is not in the public interest to waive the EBS filing freeze and the electroni</w:t>
      </w:r>
      <w:r w:rsidR="002D0204">
        <w:rPr>
          <w:sz w:val="22"/>
          <w:szCs w:val="22"/>
        </w:rPr>
        <w:t>c filing requirement because EBC</w:t>
      </w:r>
      <w:r>
        <w:rPr>
          <w:sz w:val="22"/>
          <w:szCs w:val="22"/>
        </w:rPr>
        <w:t xml:space="preserve"> is licensed to operate four EBS channels in Madison </w:t>
      </w:r>
      <w:r w:rsidR="00D2052C">
        <w:rPr>
          <w:sz w:val="22"/>
          <w:szCs w:val="22"/>
        </w:rPr>
        <w:t xml:space="preserve">(Station WLX817) </w:t>
      </w:r>
      <w:r>
        <w:rPr>
          <w:sz w:val="22"/>
          <w:szCs w:val="22"/>
        </w:rPr>
        <w:t>and four EBS channels in Lauderdale</w:t>
      </w:r>
      <w:r w:rsidR="00D2052C">
        <w:rPr>
          <w:sz w:val="22"/>
          <w:szCs w:val="22"/>
        </w:rPr>
        <w:t xml:space="preserve"> (Station WLX621)</w:t>
      </w:r>
      <w:r>
        <w:rPr>
          <w:sz w:val="22"/>
          <w:szCs w:val="22"/>
        </w:rPr>
        <w:t xml:space="preserve">.  </w:t>
      </w:r>
      <w:r w:rsidR="00387A2B">
        <w:rPr>
          <w:sz w:val="22"/>
          <w:szCs w:val="22"/>
        </w:rPr>
        <w:t>As mentioned above, in 2003, the Commission implemented a filing freeze on all new EBS applications.  Since that time, we have granted a waiver of the filing freeze to only two entities, Northern Michigan University (“NMU”)</w:t>
      </w:r>
      <w:r w:rsidR="006B2CEE">
        <w:rPr>
          <w:rStyle w:val="FootnoteReference"/>
          <w:sz w:val="22"/>
          <w:szCs w:val="22"/>
        </w:rPr>
        <w:footnoteReference w:id="45"/>
      </w:r>
      <w:r w:rsidR="00387A2B">
        <w:rPr>
          <w:sz w:val="22"/>
          <w:szCs w:val="22"/>
        </w:rPr>
        <w:t xml:space="preserve"> and Stratus Wave Communications (“Stratus Wave”).</w:t>
      </w:r>
      <w:r w:rsidR="006B2CEE">
        <w:rPr>
          <w:rStyle w:val="FootnoteReference"/>
          <w:sz w:val="22"/>
          <w:szCs w:val="22"/>
        </w:rPr>
        <w:footnoteReference w:id="46"/>
      </w:r>
      <w:r w:rsidR="00387A2B">
        <w:rPr>
          <w:sz w:val="22"/>
          <w:szCs w:val="22"/>
        </w:rPr>
        <w:t xml:space="preserve">  </w:t>
      </w:r>
      <w:r w:rsidR="007D601E">
        <w:rPr>
          <w:sz w:val="22"/>
          <w:szCs w:val="22"/>
        </w:rPr>
        <w:t>In both of those instances, neither NMU nor StratusWave could use EBS spectrum because all of the EBS channels</w:t>
      </w:r>
      <w:r w:rsidR="00436B3E">
        <w:rPr>
          <w:sz w:val="22"/>
          <w:szCs w:val="22"/>
        </w:rPr>
        <w:t>, in their respective areas,</w:t>
      </w:r>
      <w:r w:rsidR="007D601E">
        <w:rPr>
          <w:sz w:val="22"/>
          <w:szCs w:val="22"/>
        </w:rPr>
        <w:t xml:space="preserve"> were vacant, precluding them </w:t>
      </w:r>
      <w:r w:rsidR="00057AEC">
        <w:rPr>
          <w:sz w:val="22"/>
          <w:szCs w:val="22"/>
        </w:rPr>
        <w:t>not only from holding an EBS license</w:t>
      </w:r>
      <w:r w:rsidR="00436B3E">
        <w:rPr>
          <w:sz w:val="22"/>
          <w:szCs w:val="22"/>
        </w:rPr>
        <w:t>,</w:t>
      </w:r>
      <w:r w:rsidR="00057AEC">
        <w:rPr>
          <w:sz w:val="22"/>
          <w:szCs w:val="22"/>
        </w:rPr>
        <w:t xml:space="preserve"> but also </w:t>
      </w:r>
      <w:r w:rsidR="007D601E">
        <w:rPr>
          <w:sz w:val="22"/>
          <w:szCs w:val="22"/>
        </w:rPr>
        <w:t xml:space="preserve">from </w:t>
      </w:r>
      <w:r w:rsidR="00057AEC">
        <w:rPr>
          <w:sz w:val="22"/>
          <w:szCs w:val="22"/>
        </w:rPr>
        <w:t xml:space="preserve">pursuing other options such as </w:t>
      </w:r>
      <w:r w:rsidR="007D601E">
        <w:rPr>
          <w:sz w:val="22"/>
          <w:szCs w:val="22"/>
        </w:rPr>
        <w:t>leasing excess capacity from other licensees</w:t>
      </w:r>
      <w:r w:rsidR="00057AEC">
        <w:rPr>
          <w:sz w:val="22"/>
          <w:szCs w:val="22"/>
        </w:rPr>
        <w:t>, seeking an license assignment or transfer,</w:t>
      </w:r>
      <w:r w:rsidR="007D601E">
        <w:rPr>
          <w:sz w:val="22"/>
          <w:szCs w:val="22"/>
        </w:rPr>
        <w:t xml:space="preserve"> or</w:t>
      </w:r>
      <w:r w:rsidR="00057AEC">
        <w:rPr>
          <w:sz w:val="22"/>
          <w:szCs w:val="22"/>
        </w:rPr>
        <w:t xml:space="preserve"> pursuing</w:t>
      </w:r>
      <w:r w:rsidR="007D601E">
        <w:rPr>
          <w:sz w:val="22"/>
          <w:szCs w:val="22"/>
        </w:rPr>
        <w:t xml:space="preserve"> a partitioning or disaggregation agreement.</w:t>
      </w:r>
      <w:r w:rsidR="006B2CEE">
        <w:rPr>
          <w:rStyle w:val="FootnoteReference"/>
          <w:sz w:val="22"/>
          <w:szCs w:val="22"/>
        </w:rPr>
        <w:footnoteReference w:id="47"/>
      </w:r>
      <w:r w:rsidR="007D601E">
        <w:rPr>
          <w:sz w:val="22"/>
          <w:szCs w:val="22"/>
        </w:rPr>
        <w:t xml:space="preserve">  Here, EBC </w:t>
      </w:r>
      <w:r w:rsidR="005E09C8">
        <w:rPr>
          <w:sz w:val="22"/>
          <w:szCs w:val="22"/>
        </w:rPr>
        <w:t xml:space="preserve">is already </w:t>
      </w:r>
      <w:r w:rsidR="007D601E">
        <w:rPr>
          <w:sz w:val="22"/>
          <w:szCs w:val="22"/>
        </w:rPr>
        <w:t xml:space="preserve">become an EBS licensee in Madison when it was assigned Station WLX817 and in 2011 in Lauderdale when it was assigned Station WLX621. </w:t>
      </w:r>
      <w:r w:rsidR="00057AEC">
        <w:rPr>
          <w:sz w:val="22"/>
          <w:szCs w:val="22"/>
        </w:rPr>
        <w:t xml:space="preserve"> Because </w:t>
      </w:r>
      <w:r w:rsidR="00387A2B">
        <w:rPr>
          <w:sz w:val="22"/>
          <w:szCs w:val="22"/>
        </w:rPr>
        <w:t xml:space="preserve">EBC </w:t>
      </w:r>
      <w:r w:rsidR="00071DCC">
        <w:rPr>
          <w:sz w:val="22"/>
          <w:szCs w:val="22"/>
        </w:rPr>
        <w:t xml:space="preserve">already </w:t>
      </w:r>
      <w:r w:rsidR="00387A2B">
        <w:rPr>
          <w:sz w:val="22"/>
          <w:szCs w:val="22"/>
        </w:rPr>
        <w:t xml:space="preserve">holds </w:t>
      </w:r>
      <w:r w:rsidR="00057AEC">
        <w:rPr>
          <w:sz w:val="22"/>
          <w:szCs w:val="22"/>
        </w:rPr>
        <w:t xml:space="preserve">two EBS </w:t>
      </w:r>
      <w:r w:rsidR="00387A2B">
        <w:rPr>
          <w:sz w:val="22"/>
          <w:szCs w:val="22"/>
        </w:rPr>
        <w:t>licenses</w:t>
      </w:r>
      <w:r w:rsidR="00057AEC">
        <w:rPr>
          <w:sz w:val="22"/>
          <w:szCs w:val="22"/>
        </w:rPr>
        <w:t>, (the G-channel groups in both Madison and Lauderdale),</w:t>
      </w:r>
      <w:r w:rsidR="00387A2B">
        <w:rPr>
          <w:sz w:val="22"/>
          <w:szCs w:val="22"/>
        </w:rPr>
        <w:t xml:space="preserve"> </w:t>
      </w:r>
      <w:r w:rsidR="00071DCC">
        <w:rPr>
          <w:sz w:val="22"/>
          <w:szCs w:val="22"/>
        </w:rPr>
        <w:t xml:space="preserve">22.5 megahertz of spectrum in each area, we are not persuaded that EBC needs additional spectrum to meet </w:t>
      </w:r>
      <w:r w:rsidR="002D0204">
        <w:rPr>
          <w:sz w:val="22"/>
          <w:szCs w:val="22"/>
        </w:rPr>
        <w:t>the</w:t>
      </w:r>
      <w:r w:rsidR="00071DCC">
        <w:rPr>
          <w:sz w:val="22"/>
          <w:szCs w:val="22"/>
        </w:rPr>
        <w:t xml:space="preserve"> educational needs</w:t>
      </w:r>
      <w:r w:rsidR="002D0204">
        <w:rPr>
          <w:sz w:val="22"/>
          <w:szCs w:val="22"/>
        </w:rPr>
        <w:t xml:space="preserve"> of the schools</w:t>
      </w:r>
      <w:r w:rsidR="00071DCC">
        <w:rPr>
          <w:sz w:val="22"/>
          <w:szCs w:val="22"/>
        </w:rPr>
        <w:t xml:space="preserve">. </w:t>
      </w:r>
      <w:r w:rsidR="00EA71B5">
        <w:rPr>
          <w:sz w:val="22"/>
          <w:szCs w:val="22"/>
        </w:rPr>
        <w:t xml:space="preserve"> Many </w:t>
      </w:r>
      <w:r w:rsidR="00057AEC">
        <w:rPr>
          <w:sz w:val="22"/>
          <w:szCs w:val="22"/>
        </w:rPr>
        <w:t xml:space="preserve">EBS licensees are able to meet their educational needs with only one </w:t>
      </w:r>
      <w:r w:rsidR="00436B3E">
        <w:rPr>
          <w:sz w:val="22"/>
          <w:szCs w:val="22"/>
        </w:rPr>
        <w:t xml:space="preserve">channel </w:t>
      </w:r>
      <w:r w:rsidR="00071DCC">
        <w:rPr>
          <w:sz w:val="22"/>
          <w:szCs w:val="22"/>
        </w:rPr>
        <w:t xml:space="preserve">group.  </w:t>
      </w:r>
      <w:r w:rsidR="006917E9">
        <w:rPr>
          <w:sz w:val="22"/>
          <w:szCs w:val="22"/>
        </w:rPr>
        <w:t xml:space="preserve">EBC’s claims that it needs additional spectrum </w:t>
      </w:r>
      <w:r w:rsidR="00876920">
        <w:rPr>
          <w:sz w:val="22"/>
          <w:szCs w:val="22"/>
        </w:rPr>
        <w:t xml:space="preserve">because of the </w:t>
      </w:r>
      <w:r w:rsidR="00876920" w:rsidRPr="009D1F12">
        <w:rPr>
          <w:sz w:val="22"/>
          <w:szCs w:val="22"/>
        </w:rPr>
        <w:t>new student laptop program and electronic testing program</w:t>
      </w:r>
      <w:r w:rsidR="00876920">
        <w:rPr>
          <w:sz w:val="22"/>
          <w:szCs w:val="22"/>
        </w:rPr>
        <w:t xml:space="preserve"> are not adequately supported.  </w:t>
      </w:r>
      <w:r w:rsidR="00EA71B5">
        <w:rPr>
          <w:sz w:val="22"/>
          <w:szCs w:val="22"/>
        </w:rPr>
        <w:t>Meanwhile, unlike EBC, many EBS-eligible entities have not been able to gain access to EBS spectrum at all.</w:t>
      </w:r>
    </w:p>
    <w:p w:rsidR="0001220B" w:rsidRPr="0085071B" w:rsidRDefault="00777451" w:rsidP="0085071B">
      <w:pPr>
        <w:numPr>
          <w:ilvl w:val="1"/>
          <w:numId w:val="16"/>
        </w:numPr>
        <w:tabs>
          <w:tab w:val="clear" w:pos="2160"/>
          <w:tab w:val="num" w:pos="1440"/>
        </w:tabs>
        <w:spacing w:after="220"/>
        <w:ind w:left="0"/>
        <w:rPr>
          <w:sz w:val="22"/>
          <w:szCs w:val="22"/>
        </w:rPr>
      </w:pPr>
      <w:r>
        <w:rPr>
          <w:sz w:val="22"/>
          <w:szCs w:val="22"/>
        </w:rPr>
        <w:t>We also find that it is not in the public interest to waive the filing freeze because EBC is leasing the “excess capacity” of Stations WLX817 and WLX621 to Wisper</w:t>
      </w:r>
      <w:r w:rsidR="00EA71B5">
        <w:rPr>
          <w:sz w:val="22"/>
          <w:szCs w:val="22"/>
        </w:rPr>
        <w:t>, a commercial provider of broadband services</w:t>
      </w:r>
      <w:r>
        <w:rPr>
          <w:sz w:val="22"/>
          <w:szCs w:val="22"/>
        </w:rPr>
        <w:t xml:space="preserve">.  </w:t>
      </w:r>
      <w:r w:rsidR="00090D51">
        <w:rPr>
          <w:sz w:val="22"/>
          <w:szCs w:val="22"/>
        </w:rPr>
        <w:t>We cannot say that EBC’s situation is unique or unusual because the Commission contemplated that educational licensees would need additional capacity and ensured that EBS licensees would have the right to recapture additional capacity to meet increased educational needs.</w:t>
      </w:r>
      <w:r w:rsidR="00090D51">
        <w:rPr>
          <w:rStyle w:val="FootnoteReference"/>
          <w:sz w:val="22"/>
          <w:szCs w:val="22"/>
        </w:rPr>
        <w:footnoteReference w:id="48"/>
      </w:r>
      <w:r w:rsidR="00090D51">
        <w:rPr>
          <w:sz w:val="22"/>
          <w:szCs w:val="22"/>
        </w:rPr>
        <w:t xml:space="preserve">  </w:t>
      </w:r>
      <w:r w:rsidR="009B78D6">
        <w:rPr>
          <w:sz w:val="22"/>
          <w:szCs w:val="22"/>
        </w:rPr>
        <w:t>The right of EBS licensees to recapture educational spectrum is designed to allow EBS licensees to obtain additional capacity and plays an important role is maintaining the traditional educational role of EBS.</w:t>
      </w:r>
      <w:r w:rsidR="009B78D6">
        <w:rPr>
          <w:rStyle w:val="FootnoteReference"/>
          <w:sz w:val="22"/>
          <w:szCs w:val="22"/>
        </w:rPr>
        <w:footnoteReference w:id="49"/>
      </w:r>
      <w:r w:rsidR="009B78D6">
        <w:rPr>
          <w:sz w:val="22"/>
          <w:szCs w:val="22"/>
        </w:rPr>
        <w:t xml:space="preserve">  </w:t>
      </w:r>
      <w:r w:rsidR="00E84160">
        <w:rPr>
          <w:sz w:val="22"/>
          <w:szCs w:val="22"/>
        </w:rPr>
        <w:t xml:space="preserve">We would expect that licensees such as EBC that needed additional capacity would take advantage of their right to recapture additional spectrum.  </w:t>
      </w:r>
      <w:r w:rsidR="009B78D6">
        <w:rPr>
          <w:sz w:val="22"/>
          <w:szCs w:val="22"/>
        </w:rPr>
        <w:t xml:space="preserve">EBC’s claim that recapturing spectrum from Wisper would “distract” from its educational mission </w:t>
      </w:r>
      <w:r w:rsidR="00E84160">
        <w:rPr>
          <w:sz w:val="22"/>
          <w:szCs w:val="22"/>
        </w:rPr>
        <w:t xml:space="preserve">is not explained and is insufficient to justify a waiver.  </w:t>
      </w:r>
      <w:r w:rsidR="00071DCC" w:rsidRPr="009B3C42">
        <w:rPr>
          <w:sz w:val="22"/>
          <w:szCs w:val="22"/>
        </w:rPr>
        <w:t xml:space="preserve">EBC </w:t>
      </w:r>
      <w:r w:rsidR="00071DCC">
        <w:rPr>
          <w:sz w:val="22"/>
          <w:szCs w:val="22"/>
        </w:rPr>
        <w:t xml:space="preserve">also </w:t>
      </w:r>
      <w:r w:rsidR="00071DCC" w:rsidRPr="009B3C42">
        <w:rPr>
          <w:sz w:val="22"/>
          <w:szCs w:val="22"/>
        </w:rPr>
        <w:t xml:space="preserve">fails to explain how licensing the D-group channels (22.5 megahertz of spectrum) </w:t>
      </w:r>
      <w:r w:rsidR="003663A7">
        <w:rPr>
          <w:sz w:val="22"/>
          <w:szCs w:val="22"/>
        </w:rPr>
        <w:t xml:space="preserve">in Madison and the A-group channels in Lauderdale (22.5 megahertz of spectrum) </w:t>
      </w:r>
      <w:r w:rsidR="00071DCC" w:rsidRPr="009B3C42">
        <w:rPr>
          <w:sz w:val="22"/>
          <w:szCs w:val="22"/>
        </w:rPr>
        <w:t xml:space="preserve">would solve </w:t>
      </w:r>
      <w:r w:rsidR="00071DCC">
        <w:rPr>
          <w:sz w:val="22"/>
          <w:szCs w:val="22"/>
        </w:rPr>
        <w:t>the capacity problem of the schools</w:t>
      </w:r>
      <w:r w:rsidR="00071DCC" w:rsidRPr="009B3C42">
        <w:rPr>
          <w:sz w:val="22"/>
          <w:szCs w:val="22"/>
        </w:rPr>
        <w:t>.  If the needs of the schools cannot be met with the 22.5 megahertz of spectrum from the G-group</w:t>
      </w:r>
      <w:r w:rsidR="00071DCC">
        <w:rPr>
          <w:sz w:val="22"/>
          <w:szCs w:val="22"/>
        </w:rPr>
        <w:t xml:space="preserve"> channels</w:t>
      </w:r>
      <w:r w:rsidR="000920FE">
        <w:rPr>
          <w:sz w:val="22"/>
          <w:szCs w:val="22"/>
        </w:rPr>
        <w:t>,</w:t>
      </w:r>
      <w:r w:rsidR="00E5632F">
        <w:rPr>
          <w:sz w:val="22"/>
          <w:szCs w:val="22"/>
        </w:rPr>
        <w:t xml:space="preserve"> which are leased to Wisper</w:t>
      </w:r>
      <w:r w:rsidR="00071DCC" w:rsidRPr="009B3C42">
        <w:rPr>
          <w:sz w:val="22"/>
          <w:szCs w:val="22"/>
        </w:rPr>
        <w:t>, how can those needs to be met with the 22.5 megahertz of sp</w:t>
      </w:r>
      <w:r w:rsidR="00071DCC">
        <w:rPr>
          <w:sz w:val="22"/>
          <w:szCs w:val="22"/>
        </w:rPr>
        <w:t xml:space="preserve">ectrum from the D-group channels </w:t>
      </w:r>
      <w:r w:rsidR="00E5632F">
        <w:rPr>
          <w:sz w:val="22"/>
          <w:szCs w:val="22"/>
        </w:rPr>
        <w:t xml:space="preserve">(in Madison) </w:t>
      </w:r>
      <w:r w:rsidR="00071DCC">
        <w:rPr>
          <w:sz w:val="22"/>
          <w:szCs w:val="22"/>
        </w:rPr>
        <w:t xml:space="preserve">and </w:t>
      </w:r>
      <w:r w:rsidR="00E5632F">
        <w:rPr>
          <w:sz w:val="22"/>
          <w:szCs w:val="22"/>
        </w:rPr>
        <w:t>from the A-group channels (</w:t>
      </w:r>
      <w:r w:rsidR="00071DCC">
        <w:rPr>
          <w:sz w:val="22"/>
          <w:szCs w:val="22"/>
        </w:rPr>
        <w:t>in Lauderdale</w:t>
      </w:r>
      <w:r w:rsidR="00E5632F">
        <w:rPr>
          <w:sz w:val="22"/>
          <w:szCs w:val="22"/>
        </w:rPr>
        <w:t>)</w:t>
      </w:r>
      <w:r w:rsidR="00071DCC" w:rsidRPr="009B3C42">
        <w:rPr>
          <w:sz w:val="22"/>
          <w:szCs w:val="22"/>
        </w:rPr>
        <w:t xml:space="preserve">?  Nowhere in its waiver request does EBC indicate that to meet the needs of the schools it intended to use both the D-group </w:t>
      </w:r>
      <w:r w:rsidR="00071DCC">
        <w:rPr>
          <w:sz w:val="22"/>
          <w:szCs w:val="22"/>
        </w:rPr>
        <w:t xml:space="preserve">and </w:t>
      </w:r>
      <w:r w:rsidR="00E5632F">
        <w:rPr>
          <w:sz w:val="22"/>
          <w:szCs w:val="22"/>
        </w:rPr>
        <w:t xml:space="preserve">the G-group channels in Madison and the </w:t>
      </w:r>
      <w:r w:rsidR="00071DCC">
        <w:rPr>
          <w:sz w:val="22"/>
          <w:szCs w:val="22"/>
        </w:rPr>
        <w:t xml:space="preserve">A-group </w:t>
      </w:r>
      <w:r w:rsidR="00071DCC" w:rsidRPr="009B3C42">
        <w:rPr>
          <w:sz w:val="22"/>
          <w:szCs w:val="22"/>
        </w:rPr>
        <w:t>and the G-group channels</w:t>
      </w:r>
      <w:r w:rsidR="00E5632F">
        <w:rPr>
          <w:sz w:val="22"/>
          <w:szCs w:val="22"/>
        </w:rPr>
        <w:t xml:space="preserve"> in Lauderdale</w:t>
      </w:r>
      <w:r w:rsidR="00071DCC" w:rsidRPr="009B3C42">
        <w:rPr>
          <w:sz w:val="22"/>
          <w:szCs w:val="22"/>
        </w:rPr>
        <w:t xml:space="preserve">. </w:t>
      </w:r>
    </w:p>
    <w:p w:rsidR="00372335" w:rsidRDefault="00372335">
      <w:pPr>
        <w:pStyle w:val="Heading1"/>
        <w:spacing w:before="0" w:after="220"/>
        <w:rPr>
          <w:rFonts w:ascii="Times New Roman" w:hAnsi="Times New Roman"/>
          <w:sz w:val="22"/>
          <w:szCs w:val="22"/>
        </w:rPr>
      </w:pPr>
      <w:r>
        <w:rPr>
          <w:rFonts w:ascii="Times New Roman" w:hAnsi="Times New Roman"/>
          <w:sz w:val="22"/>
          <w:szCs w:val="22"/>
        </w:rPr>
        <w:t>IV.</w:t>
      </w:r>
      <w:r>
        <w:rPr>
          <w:rFonts w:ascii="Times New Roman" w:hAnsi="Times New Roman"/>
          <w:sz w:val="22"/>
          <w:szCs w:val="22"/>
        </w:rPr>
        <w:tab/>
        <w:t>CONCLUSION AND ORDERING CLAUSES</w:t>
      </w:r>
    </w:p>
    <w:p w:rsidR="00372335" w:rsidRDefault="00372335">
      <w:pPr>
        <w:numPr>
          <w:ilvl w:val="1"/>
          <w:numId w:val="16"/>
        </w:numPr>
        <w:tabs>
          <w:tab w:val="clear" w:pos="2160"/>
          <w:tab w:val="num" w:pos="1440"/>
        </w:tabs>
        <w:spacing w:after="220"/>
        <w:ind w:left="0"/>
        <w:rPr>
          <w:sz w:val="22"/>
          <w:szCs w:val="22"/>
        </w:rPr>
      </w:pPr>
      <w:r>
        <w:rPr>
          <w:sz w:val="22"/>
          <w:szCs w:val="22"/>
        </w:rPr>
        <w:t xml:space="preserve">For the reasons discussed above, we </w:t>
      </w:r>
      <w:r w:rsidR="000920FE">
        <w:rPr>
          <w:sz w:val="22"/>
          <w:szCs w:val="22"/>
        </w:rPr>
        <w:t xml:space="preserve">grant EBC’s request for waiver of the electronic filing requirement in Section 1.1913(b) of the Commission’s Rules, but </w:t>
      </w:r>
      <w:r w:rsidR="00D2052C">
        <w:rPr>
          <w:sz w:val="22"/>
          <w:szCs w:val="22"/>
        </w:rPr>
        <w:t>deny</w:t>
      </w:r>
      <w:r>
        <w:rPr>
          <w:sz w:val="22"/>
          <w:szCs w:val="22"/>
        </w:rPr>
        <w:t xml:space="preserve"> </w:t>
      </w:r>
      <w:r w:rsidR="00D2052C">
        <w:rPr>
          <w:sz w:val="22"/>
          <w:szCs w:val="22"/>
        </w:rPr>
        <w:t>EBC</w:t>
      </w:r>
      <w:r>
        <w:rPr>
          <w:sz w:val="22"/>
          <w:szCs w:val="22"/>
        </w:rPr>
        <w:t xml:space="preserve">’s request for waiver of the filing freeze that was imposed by the Commission on new EBS applications in the Commission’s April 2003 </w:t>
      </w:r>
      <w:r>
        <w:rPr>
          <w:i/>
          <w:sz w:val="22"/>
          <w:szCs w:val="22"/>
        </w:rPr>
        <w:t>NPRM and MO&amp;O</w:t>
      </w:r>
      <w:r>
        <w:rPr>
          <w:sz w:val="22"/>
          <w:szCs w:val="22"/>
        </w:rPr>
        <w:t xml:space="preserve">.  </w:t>
      </w:r>
      <w:r w:rsidR="000920FE">
        <w:rPr>
          <w:sz w:val="22"/>
          <w:szCs w:val="22"/>
        </w:rPr>
        <w:t>We direct dismissal of EBC’s Applications.</w:t>
      </w:r>
    </w:p>
    <w:p w:rsidR="00372335" w:rsidRDefault="00372335">
      <w:pPr>
        <w:numPr>
          <w:ilvl w:val="1"/>
          <w:numId w:val="16"/>
        </w:numPr>
        <w:tabs>
          <w:tab w:val="clear" w:pos="2160"/>
          <w:tab w:val="num" w:pos="1440"/>
        </w:tabs>
        <w:spacing w:after="220"/>
        <w:ind w:left="0"/>
        <w:rPr>
          <w:sz w:val="22"/>
          <w:szCs w:val="22"/>
        </w:rPr>
      </w:pPr>
      <w:r>
        <w:rPr>
          <w:sz w:val="22"/>
          <w:szCs w:val="22"/>
        </w:rPr>
        <w:t xml:space="preserve">Accordingly, IT IS ORDERED, pursuant to Section 4(i) of the Communications Act of 1934, as amended 47 U.S.C. § 154(i), and Section 1.925(b)(3) of the Commission’s Rules, 47 C.F.R. § 1.925(b)(3), that the waiver requests filed by </w:t>
      </w:r>
      <w:r w:rsidR="00BD1FF0">
        <w:rPr>
          <w:sz w:val="22"/>
          <w:szCs w:val="22"/>
        </w:rPr>
        <w:t>Educational Broadband Corporation on March 11, 2013</w:t>
      </w:r>
      <w:r>
        <w:rPr>
          <w:sz w:val="22"/>
          <w:szCs w:val="22"/>
        </w:rPr>
        <w:t xml:space="preserve"> in connection with File No</w:t>
      </w:r>
      <w:r w:rsidR="00BD1FF0">
        <w:rPr>
          <w:sz w:val="22"/>
          <w:szCs w:val="22"/>
        </w:rPr>
        <w:t>s</w:t>
      </w:r>
      <w:r>
        <w:rPr>
          <w:sz w:val="22"/>
          <w:szCs w:val="22"/>
        </w:rPr>
        <w:t>. 000</w:t>
      </w:r>
      <w:r w:rsidR="00BD1FF0">
        <w:rPr>
          <w:sz w:val="22"/>
          <w:szCs w:val="22"/>
        </w:rPr>
        <w:t>5690754 and 000560755</w:t>
      </w:r>
      <w:r>
        <w:rPr>
          <w:sz w:val="22"/>
          <w:szCs w:val="22"/>
        </w:rPr>
        <w:t xml:space="preserve"> ARE </w:t>
      </w:r>
      <w:r w:rsidR="000920FE">
        <w:rPr>
          <w:sz w:val="22"/>
          <w:szCs w:val="22"/>
        </w:rPr>
        <w:t>GRANTED</w:t>
      </w:r>
      <w:r w:rsidR="000920FE" w:rsidRPr="000920FE">
        <w:rPr>
          <w:spacing w:val="-2"/>
          <w:sz w:val="22"/>
          <w:szCs w:val="22"/>
        </w:rPr>
        <w:t xml:space="preserve"> </w:t>
      </w:r>
      <w:r w:rsidR="000920FE" w:rsidRPr="000920FE">
        <w:rPr>
          <w:sz w:val="22"/>
          <w:szCs w:val="22"/>
        </w:rPr>
        <w:t xml:space="preserve">with respect to the request for waiver of Section 1.913(b) of the Commission’s Rules but </w:t>
      </w:r>
      <w:r w:rsidR="000920FE">
        <w:rPr>
          <w:sz w:val="22"/>
          <w:szCs w:val="22"/>
        </w:rPr>
        <w:t>are</w:t>
      </w:r>
      <w:r w:rsidR="000920FE" w:rsidRPr="000920FE">
        <w:rPr>
          <w:sz w:val="22"/>
          <w:szCs w:val="22"/>
        </w:rPr>
        <w:t xml:space="preserve"> otherwise DENIED</w:t>
      </w:r>
      <w:r>
        <w:rPr>
          <w:sz w:val="22"/>
          <w:szCs w:val="22"/>
        </w:rPr>
        <w:t>.</w:t>
      </w:r>
    </w:p>
    <w:p w:rsidR="000920FE" w:rsidRDefault="000920FE">
      <w:pPr>
        <w:numPr>
          <w:ilvl w:val="1"/>
          <w:numId w:val="16"/>
        </w:numPr>
        <w:tabs>
          <w:tab w:val="clear" w:pos="2160"/>
          <w:tab w:val="num" w:pos="1440"/>
        </w:tabs>
        <w:spacing w:after="220"/>
        <w:ind w:left="0"/>
        <w:rPr>
          <w:sz w:val="22"/>
          <w:szCs w:val="22"/>
        </w:rPr>
      </w:pPr>
      <w:r w:rsidRPr="000920FE">
        <w:rPr>
          <w:sz w:val="22"/>
          <w:szCs w:val="22"/>
        </w:rPr>
        <w:t>IT IS FURTHER ORDERED, pursuant to Section 4(i) of the Communications Act of 1934, as amended, 47 U.S.C. § 154(i), and Section 1.934(d)(2) of the Commission’s Rules, 47 C.F.R. § 1.934(d)(2), that the licensing staff of the Broadband Division SHALL DISMISS the application</w:t>
      </w:r>
      <w:r>
        <w:rPr>
          <w:sz w:val="22"/>
          <w:szCs w:val="22"/>
        </w:rPr>
        <w:t>s</w:t>
      </w:r>
      <w:r w:rsidRPr="000920FE">
        <w:rPr>
          <w:sz w:val="22"/>
          <w:szCs w:val="22"/>
        </w:rPr>
        <w:t xml:space="preserve"> filed by </w:t>
      </w:r>
      <w:r w:rsidR="0034121E">
        <w:rPr>
          <w:sz w:val="22"/>
          <w:szCs w:val="22"/>
        </w:rPr>
        <w:t>Educational Broadband Corporation on March 11, 2013 for</w:t>
      </w:r>
      <w:r w:rsidRPr="000920FE">
        <w:rPr>
          <w:sz w:val="22"/>
          <w:szCs w:val="22"/>
        </w:rPr>
        <w:t xml:space="preserve"> new Educational Broadband Service </w:t>
      </w:r>
      <w:r w:rsidR="0034121E">
        <w:rPr>
          <w:sz w:val="22"/>
          <w:szCs w:val="22"/>
        </w:rPr>
        <w:t>s</w:t>
      </w:r>
      <w:r w:rsidRPr="000920FE">
        <w:rPr>
          <w:sz w:val="22"/>
          <w:szCs w:val="22"/>
        </w:rPr>
        <w:t>tation</w:t>
      </w:r>
      <w:r w:rsidR="0034121E">
        <w:rPr>
          <w:sz w:val="22"/>
          <w:szCs w:val="22"/>
        </w:rPr>
        <w:t>s (</w:t>
      </w:r>
      <w:r w:rsidRPr="000920FE">
        <w:rPr>
          <w:sz w:val="22"/>
          <w:szCs w:val="22"/>
        </w:rPr>
        <w:t>File No</w:t>
      </w:r>
      <w:r w:rsidR="0034121E">
        <w:rPr>
          <w:sz w:val="22"/>
          <w:szCs w:val="22"/>
        </w:rPr>
        <w:t>s</w:t>
      </w:r>
      <w:r w:rsidRPr="000920FE">
        <w:rPr>
          <w:sz w:val="22"/>
          <w:szCs w:val="22"/>
        </w:rPr>
        <w:t>.</w:t>
      </w:r>
      <w:r w:rsidR="0034121E">
        <w:rPr>
          <w:sz w:val="22"/>
          <w:szCs w:val="22"/>
        </w:rPr>
        <w:t xml:space="preserve"> 0005690754 and 000560755</w:t>
      </w:r>
      <w:r w:rsidRPr="000920FE">
        <w:rPr>
          <w:sz w:val="22"/>
          <w:szCs w:val="22"/>
        </w:rPr>
        <w:t>).</w:t>
      </w:r>
    </w:p>
    <w:p w:rsidR="00372335" w:rsidRDefault="00372335">
      <w:pPr>
        <w:numPr>
          <w:ilvl w:val="1"/>
          <w:numId w:val="16"/>
        </w:numPr>
        <w:tabs>
          <w:tab w:val="clear" w:pos="2160"/>
          <w:tab w:val="num" w:pos="1440"/>
        </w:tabs>
        <w:spacing w:after="220"/>
        <w:ind w:left="0"/>
        <w:rPr>
          <w:sz w:val="22"/>
          <w:szCs w:val="22"/>
        </w:rPr>
      </w:pPr>
      <w:r>
        <w:rPr>
          <w:sz w:val="22"/>
          <w:szCs w:val="22"/>
        </w:rPr>
        <w:t>Th</w:t>
      </w:r>
      <w:r w:rsidR="00673B31">
        <w:rPr>
          <w:sz w:val="22"/>
          <w:szCs w:val="22"/>
        </w:rPr>
        <w:t>e</w:t>
      </w:r>
      <w:r>
        <w:rPr>
          <w:sz w:val="22"/>
          <w:szCs w:val="22"/>
        </w:rPr>
        <w:t>s</w:t>
      </w:r>
      <w:r w:rsidR="00673B31">
        <w:rPr>
          <w:sz w:val="22"/>
          <w:szCs w:val="22"/>
        </w:rPr>
        <w:t>e</w:t>
      </w:r>
      <w:r>
        <w:rPr>
          <w:sz w:val="22"/>
          <w:szCs w:val="22"/>
        </w:rPr>
        <w:t xml:space="preserve"> action</w:t>
      </w:r>
      <w:r w:rsidR="00673B31">
        <w:rPr>
          <w:sz w:val="22"/>
          <w:szCs w:val="22"/>
        </w:rPr>
        <w:t>s</w:t>
      </w:r>
      <w:r>
        <w:rPr>
          <w:sz w:val="22"/>
          <w:szCs w:val="22"/>
        </w:rPr>
        <w:t xml:space="preserve"> </w:t>
      </w:r>
      <w:r w:rsidR="00673B31">
        <w:rPr>
          <w:sz w:val="22"/>
          <w:szCs w:val="22"/>
        </w:rPr>
        <w:t xml:space="preserve">are </w:t>
      </w:r>
      <w:r>
        <w:rPr>
          <w:sz w:val="22"/>
          <w:szCs w:val="22"/>
        </w:rPr>
        <w:t>taken under delegated authority pursuant to Sections 0.131 and 0.331 of the Commission’s Rules, 47 C.F.R. §§ 0.131, 0.331.</w:t>
      </w:r>
    </w:p>
    <w:p w:rsidR="00372335" w:rsidRDefault="00372335">
      <w:pPr>
        <w:spacing w:after="220"/>
        <w:rPr>
          <w:sz w:val="22"/>
          <w:szCs w:val="22"/>
        </w:rPr>
      </w:pPr>
    </w:p>
    <w:p w:rsidR="00372335" w:rsidRDefault="00372335">
      <w:pPr>
        <w:rPr>
          <w:sz w:val="22"/>
          <w:szCs w:val="22"/>
        </w:rPr>
      </w:pPr>
      <w:r>
        <w:rPr>
          <w:sz w:val="22"/>
          <w:szCs w:val="22"/>
        </w:rPr>
        <w:tab/>
      </w:r>
      <w:r>
        <w:rPr>
          <w:sz w:val="22"/>
          <w:szCs w:val="22"/>
        </w:rPr>
        <w:tab/>
      </w:r>
      <w:r>
        <w:rPr>
          <w:sz w:val="22"/>
          <w:szCs w:val="22"/>
        </w:rPr>
        <w:tab/>
      </w:r>
      <w:r>
        <w:rPr>
          <w:sz w:val="22"/>
          <w:szCs w:val="22"/>
        </w:rPr>
        <w:tab/>
      </w:r>
      <w:r>
        <w:rPr>
          <w:sz w:val="22"/>
          <w:szCs w:val="22"/>
        </w:rPr>
        <w:tab/>
        <w:t>FEDERAL COMMUNICATIONS COMMISSION</w:t>
      </w:r>
    </w:p>
    <w:p w:rsidR="00372335" w:rsidRDefault="00372335">
      <w:pPr>
        <w:rPr>
          <w:sz w:val="22"/>
          <w:szCs w:val="22"/>
        </w:rPr>
      </w:pPr>
    </w:p>
    <w:p w:rsidR="00372335" w:rsidRDefault="00372335">
      <w:pPr>
        <w:rPr>
          <w:sz w:val="22"/>
          <w:szCs w:val="22"/>
        </w:rPr>
      </w:pPr>
    </w:p>
    <w:p w:rsidR="00372335" w:rsidRDefault="00372335">
      <w:pPr>
        <w:rPr>
          <w:sz w:val="22"/>
          <w:szCs w:val="22"/>
        </w:rPr>
      </w:pPr>
    </w:p>
    <w:p w:rsidR="00372335" w:rsidRDefault="00372335">
      <w:pPr>
        <w:rPr>
          <w:sz w:val="22"/>
          <w:szCs w:val="22"/>
        </w:rPr>
      </w:pPr>
      <w:r>
        <w:rPr>
          <w:sz w:val="22"/>
          <w:szCs w:val="22"/>
        </w:rPr>
        <w:tab/>
      </w:r>
      <w:r>
        <w:rPr>
          <w:sz w:val="22"/>
          <w:szCs w:val="22"/>
        </w:rPr>
        <w:tab/>
      </w:r>
      <w:r>
        <w:rPr>
          <w:sz w:val="22"/>
          <w:szCs w:val="22"/>
        </w:rPr>
        <w:tab/>
      </w:r>
      <w:r>
        <w:rPr>
          <w:sz w:val="22"/>
          <w:szCs w:val="22"/>
        </w:rPr>
        <w:tab/>
      </w:r>
      <w:r>
        <w:rPr>
          <w:sz w:val="22"/>
          <w:szCs w:val="22"/>
        </w:rPr>
        <w:tab/>
      </w:r>
      <w:r w:rsidR="0074173A">
        <w:rPr>
          <w:sz w:val="22"/>
          <w:szCs w:val="22"/>
        </w:rPr>
        <w:t>John J. Schauble</w:t>
      </w:r>
    </w:p>
    <w:p w:rsidR="0085492B" w:rsidRDefault="00372335">
      <w:pPr>
        <w:rPr>
          <w:sz w:val="22"/>
          <w:szCs w:val="22"/>
        </w:rPr>
      </w:pPr>
      <w:r>
        <w:rPr>
          <w:sz w:val="22"/>
          <w:szCs w:val="22"/>
        </w:rPr>
        <w:tab/>
      </w:r>
      <w:r>
        <w:rPr>
          <w:sz w:val="22"/>
          <w:szCs w:val="22"/>
        </w:rPr>
        <w:tab/>
      </w:r>
      <w:r>
        <w:rPr>
          <w:sz w:val="22"/>
          <w:szCs w:val="22"/>
        </w:rPr>
        <w:tab/>
      </w:r>
      <w:r>
        <w:rPr>
          <w:sz w:val="22"/>
          <w:szCs w:val="22"/>
        </w:rPr>
        <w:tab/>
      </w:r>
      <w:r>
        <w:rPr>
          <w:sz w:val="22"/>
          <w:szCs w:val="22"/>
        </w:rPr>
        <w:tab/>
      </w:r>
      <w:r w:rsidR="0074173A">
        <w:rPr>
          <w:sz w:val="22"/>
          <w:szCs w:val="22"/>
        </w:rPr>
        <w:t xml:space="preserve">Deputy </w:t>
      </w:r>
      <w:r>
        <w:rPr>
          <w:sz w:val="22"/>
          <w:szCs w:val="22"/>
        </w:rPr>
        <w:t xml:space="preserve">Chief, </w:t>
      </w:r>
      <w:r w:rsidR="0085492B">
        <w:rPr>
          <w:sz w:val="22"/>
          <w:szCs w:val="22"/>
        </w:rPr>
        <w:t>Broadband Division</w:t>
      </w:r>
    </w:p>
    <w:p w:rsidR="00372335" w:rsidRDefault="00372335" w:rsidP="0085492B">
      <w:pPr>
        <w:ind w:left="2880" w:firstLine="720"/>
        <w:rPr>
          <w:sz w:val="22"/>
          <w:szCs w:val="22"/>
        </w:rPr>
      </w:pPr>
      <w:r>
        <w:rPr>
          <w:sz w:val="22"/>
          <w:szCs w:val="22"/>
        </w:rPr>
        <w:t>Wireless Telecommunications Bureau</w:t>
      </w:r>
    </w:p>
    <w:sectPr w:rsidR="0037233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AAC" w:rsidRDefault="00CE5AAC">
      <w:r>
        <w:separator/>
      </w:r>
    </w:p>
  </w:endnote>
  <w:endnote w:type="continuationSeparator" w:id="0">
    <w:p w:rsidR="00CE5AAC" w:rsidRDefault="00CE5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E91" w:rsidRDefault="00E96E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6E91" w:rsidRDefault="00E96E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E91" w:rsidRDefault="00E96E91">
    <w:pPr>
      <w:pStyle w:val="Footer"/>
      <w:framePr w:wrap="around" w:vAnchor="text" w:hAnchor="margin" w:xAlign="center" w:y="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sidR="00C561D5">
      <w:rPr>
        <w:rStyle w:val="PageNumber"/>
        <w:noProof/>
        <w:sz w:val="22"/>
        <w:szCs w:val="22"/>
      </w:rPr>
      <w:t>2</w:t>
    </w:r>
    <w:r>
      <w:rPr>
        <w:rStyle w:val="PageNumber"/>
        <w:sz w:val="22"/>
        <w:szCs w:val="22"/>
      </w:rPr>
      <w:fldChar w:fldCharType="end"/>
    </w:r>
  </w:p>
  <w:p w:rsidR="00E96E91" w:rsidRDefault="00E96E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3A" w:rsidRDefault="00204E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AAC" w:rsidRDefault="00CE5AAC">
      <w:r>
        <w:separator/>
      </w:r>
    </w:p>
  </w:footnote>
  <w:footnote w:type="continuationSeparator" w:id="0">
    <w:p w:rsidR="00CE5AAC" w:rsidRDefault="00CE5AAC">
      <w:r>
        <w:continuationSeparator/>
      </w:r>
    </w:p>
  </w:footnote>
  <w:footnote w:id="1">
    <w:p w:rsidR="00E96E91" w:rsidRDefault="00E96E91" w:rsidP="00333981">
      <w:pPr>
        <w:pStyle w:val="FootnoteText"/>
        <w:spacing w:after="120"/>
      </w:pPr>
      <w:r>
        <w:rPr>
          <w:rStyle w:val="FootnoteReference"/>
        </w:rPr>
        <w:footnoteRef/>
      </w:r>
      <w:r>
        <w:t xml:space="preserve"> </w:t>
      </w:r>
      <w:r>
        <w:rPr>
          <w:i/>
        </w:rPr>
        <w:t>See</w:t>
      </w:r>
      <w:r>
        <w:t xml:space="preserve"> Educational Television, Docket No. 14744, </w:t>
      </w:r>
      <w:r>
        <w:rPr>
          <w:i/>
        </w:rPr>
        <w:t>Report and Order</w:t>
      </w:r>
      <w:r>
        <w:t>, 39 FCC 846 (1863) (</w:t>
      </w:r>
      <w:r>
        <w:rPr>
          <w:i/>
        </w:rPr>
        <w:t>MDS R&amp;O</w:t>
      </w:r>
      <w:r>
        <w:t xml:space="preserve">), </w:t>
      </w:r>
      <w:r>
        <w:rPr>
          <w:i/>
        </w:rPr>
        <w:t>recon. denied</w:t>
      </w:r>
      <w:r>
        <w:t xml:space="preserve"> 39 FCC 873 (1964) (</w:t>
      </w:r>
      <w:r>
        <w:rPr>
          <w:i/>
        </w:rPr>
        <w:t>ETV Decision</w:t>
      </w:r>
      <w:r>
        <w:t>).</w:t>
      </w:r>
    </w:p>
  </w:footnote>
  <w:footnote w:id="2">
    <w:p w:rsidR="00E96E91" w:rsidRDefault="00E96E91">
      <w:pPr>
        <w:pStyle w:val="FootnoteText"/>
        <w:spacing w:after="120"/>
      </w:pPr>
      <w:r>
        <w:rPr>
          <w:rStyle w:val="FootnoteReference"/>
        </w:rPr>
        <w:footnoteRef/>
      </w:r>
      <w:r>
        <w:t xml:space="preserve"> </w:t>
      </w:r>
      <w:r>
        <w:rPr>
          <w:i/>
        </w:rPr>
        <w:t>See</w:t>
      </w:r>
      <w:r>
        <w:t xml:space="preserve"> Amendment of the Commission’s Rules With Regard to the Instructional Television Fixed Service, the Multipoint Distribution Service, and the Private Operational Fixed Microwave Service; and Applications for an Experimental Station and Establishment of Multi-Channel Systems, </w:t>
      </w:r>
      <w:r>
        <w:rPr>
          <w:i/>
        </w:rPr>
        <w:t>Report and Order</w:t>
      </w:r>
      <w:r>
        <w:t>, 48 Fed. Reg. 33873, 33875 ¶ 9 (1983) (</w:t>
      </w:r>
      <w:r>
        <w:rPr>
          <w:i/>
        </w:rPr>
        <w:t>1983 R&amp;O</w:t>
      </w:r>
      <w:r>
        <w:t>) (</w:t>
      </w:r>
      <w:r>
        <w:rPr>
          <w:i/>
        </w:rPr>
        <w:t>citing ETV Decision</w:t>
      </w:r>
      <w:r>
        <w:t>, 39 FCC 846, 853 ¶ 25.).</w:t>
      </w:r>
    </w:p>
  </w:footnote>
  <w:footnote w:id="3">
    <w:p w:rsidR="00E96E91" w:rsidRDefault="00E96E91">
      <w:pPr>
        <w:pStyle w:val="FootnoteText"/>
        <w:spacing w:after="120"/>
      </w:pPr>
      <w:r>
        <w:rPr>
          <w:rStyle w:val="FootnoteReference"/>
        </w:rPr>
        <w:footnoteRef/>
      </w:r>
      <w:r>
        <w:t xml:space="preserve"> </w:t>
      </w:r>
      <w:r>
        <w:rPr>
          <w:i/>
        </w:rPr>
        <w:t>See</w:t>
      </w:r>
      <w:r>
        <w:t xml:space="preserve"> Amendment of Parts 2,</w:t>
      </w:r>
      <w:r w:rsidR="00AD750E">
        <w:t xml:space="preserve"> </w:t>
      </w:r>
      <w:r>
        <w:t xml:space="preserve">21,74 and 94 of the Commission’s Rules and Regulations in regard to frequency allocation to the Instructional Television Fixed Service, the Multipoint Distribution Service, and the Private Operational Fixed Microwave Service, Gen Docket No. 80-112 and CC Docket No. 80-116, </w:t>
      </w:r>
      <w:r>
        <w:rPr>
          <w:i/>
        </w:rPr>
        <w:t>Report and Order,</w:t>
      </w:r>
      <w:r>
        <w:t xml:space="preserve"> 94 FCC 2d 1203 (1983) (</w:t>
      </w:r>
      <w:r>
        <w:rPr>
          <w:i/>
        </w:rPr>
        <w:t>First Leasing Decision</w:t>
      </w:r>
      <w:r>
        <w:t xml:space="preserve">). </w:t>
      </w:r>
    </w:p>
  </w:footnote>
  <w:footnote w:id="4">
    <w:p w:rsidR="00E96E91" w:rsidRDefault="00E96E91">
      <w:pPr>
        <w:pStyle w:val="FootnoteText"/>
        <w:spacing w:after="120"/>
      </w:pPr>
      <w:r>
        <w:rPr>
          <w:rStyle w:val="FootnoteReference"/>
        </w:rPr>
        <w:footnoteRef/>
      </w:r>
      <w:r>
        <w:t xml:space="preserve"> </w:t>
      </w:r>
      <w:r>
        <w:rPr>
          <w:i/>
        </w:rPr>
        <w:t>Id</w:t>
      </w:r>
      <w:r>
        <w:t>. at 1206-07 ¶ 4.</w:t>
      </w:r>
    </w:p>
  </w:footnote>
  <w:footnote w:id="5">
    <w:p w:rsidR="00E96E91" w:rsidRDefault="00E96E91">
      <w:pPr>
        <w:pStyle w:val="FootnoteText"/>
        <w:spacing w:after="120"/>
      </w:pPr>
      <w:r>
        <w:rPr>
          <w:rStyle w:val="FootnoteReference"/>
        </w:rPr>
        <w:footnoteRef/>
      </w:r>
      <w:r>
        <w:t xml:space="preserve"> </w:t>
      </w:r>
      <w:r>
        <w:rPr>
          <w:i/>
        </w:rPr>
        <w:t>See NPRM and MO&amp;O</w:t>
      </w:r>
      <w:r>
        <w:t>, 18 FCC Rcd at 6811 ¶ 226, 6825 ¶ 260.</w:t>
      </w:r>
    </w:p>
  </w:footnote>
  <w:footnote w:id="6">
    <w:p w:rsidR="00E96E91" w:rsidRDefault="00E96E91">
      <w:pPr>
        <w:pStyle w:val="FootnoteText"/>
        <w:spacing w:after="120"/>
      </w:pPr>
      <w:r>
        <w:rPr>
          <w:rStyle w:val="FootnoteReference"/>
        </w:rPr>
        <w:footnoteRef/>
      </w:r>
      <w:r>
        <w:t xml:space="preserve">  </w:t>
      </w:r>
      <w:r>
        <w:rPr>
          <w:i/>
        </w:rPr>
        <w:t>See</w:t>
      </w:r>
      <w:r>
        <w:t xml:space="preserve"> Amendment of Parts 1, 21, 73, 74 and 101 of the Commission’s Rules to Facilitate the Provision of fixed and Mobile Broadband Access, Educational and Other advanced Services in the 2150-2162 and 2500-2690 Bands</w:t>
      </w:r>
      <w:r>
        <w:rPr>
          <w:i/>
        </w:rPr>
        <w:t>.  Second Memorandum Opinion and Order</w:t>
      </w:r>
      <w:r>
        <w:t>, WT Docket No. 03-66, 18 FCC Rcd 16848 ¶ 1 (2003) (</w:t>
      </w:r>
      <w:r>
        <w:rPr>
          <w:i/>
        </w:rPr>
        <w:t>Second MO&amp;O</w:t>
      </w:r>
      <w:r>
        <w:t>).</w:t>
      </w:r>
    </w:p>
  </w:footnote>
  <w:footnote w:id="7">
    <w:p w:rsidR="00E96E91" w:rsidRDefault="00E96E91">
      <w:pPr>
        <w:pStyle w:val="FootnoteText"/>
        <w:spacing w:after="120"/>
      </w:pPr>
      <w:r>
        <w:rPr>
          <w:rStyle w:val="FootnoteReference"/>
        </w:rPr>
        <w:footnoteRef/>
      </w:r>
      <w:r>
        <w:t xml:space="preserve">  </w:t>
      </w:r>
      <w:r>
        <w:rPr>
          <w:i/>
        </w:rPr>
        <w:t>Id</w:t>
      </w:r>
      <w:r>
        <w:t>.</w:t>
      </w:r>
    </w:p>
  </w:footnote>
  <w:footnote w:id="8">
    <w:p w:rsidR="00E96E91" w:rsidRDefault="00E96E91">
      <w:pPr>
        <w:pStyle w:val="FootnoteText"/>
        <w:spacing w:after="120"/>
      </w:pPr>
      <w:r>
        <w:rPr>
          <w:rStyle w:val="FootnoteReference"/>
        </w:rPr>
        <w:footnoteRef/>
      </w:r>
      <w:r>
        <w:t xml:space="preserve">  </w:t>
      </w:r>
      <w:r>
        <w:rPr>
          <w:i/>
        </w:rPr>
        <w:t>See</w:t>
      </w:r>
      <w:r>
        <w:t xml:space="preserve"> Amendment of Parts 1, 21, 73, 74 and 101 of the Commission’s Rules to Facilitate the Provision of fixed and Mobile Broadband Access, Educational and Other advanced Services in the 2150-2162 and 2500-2690 MHz Bands.  </w:t>
      </w:r>
      <w:r>
        <w:rPr>
          <w:i/>
        </w:rPr>
        <w:t>Report and Order and Further Notice of Proposed Rulemaking</w:t>
      </w:r>
      <w:r>
        <w:t>, WT Docket No. 03-66, 19 FCC Rcd 14165 (2004) (</w:t>
      </w:r>
      <w:r>
        <w:rPr>
          <w:i/>
        </w:rPr>
        <w:t>BRS/EBS R&amp;O and FNPRM</w:t>
      </w:r>
      <w:r>
        <w:t>).</w:t>
      </w:r>
    </w:p>
  </w:footnote>
  <w:footnote w:id="9">
    <w:p w:rsidR="00E96E91" w:rsidRDefault="00E96E91" w:rsidP="009938E3">
      <w:pPr>
        <w:pStyle w:val="FootnoteText"/>
        <w:spacing w:after="120"/>
      </w:pPr>
      <w:r>
        <w:rPr>
          <w:rStyle w:val="FootnoteReference"/>
        </w:rPr>
        <w:footnoteRef/>
      </w:r>
      <w:r>
        <w:t xml:space="preserve"> </w:t>
      </w:r>
      <w:r>
        <w:rPr>
          <w:i/>
        </w:rPr>
        <w:t>See</w:t>
      </w:r>
      <w:r>
        <w:t xml:space="preserve"> Amendment of Parts 1, 21, 73, 74 and 101 of the Commission’s Rules to Facilitate the Provision of Fixed and Mobile Broadband Access, Educational and Other Advanced Services in the 2150-2162 and 2500-2690 MHz Bands, </w:t>
      </w:r>
      <w:r>
        <w:rPr>
          <w:i/>
        </w:rPr>
        <w:t>Third Order on Reconsideration and Sixth Memorandum Opinion and Order and Fourth Memorandum Opinion and Order and Second Further Notice of Proposed Rulemaking and Declaratory Ruling,</w:t>
      </w:r>
      <w:r>
        <w:t xml:space="preserve"> WT Docket No. 03-66, 23 FCC Rcd 5992, 6060-6068 ¶¶ 180-204 (2008) (</w:t>
      </w:r>
      <w:r>
        <w:rPr>
          <w:i/>
        </w:rPr>
        <w:t>Second FNPRM</w:t>
      </w:r>
      <w:r>
        <w:t>).</w:t>
      </w:r>
    </w:p>
  </w:footnote>
  <w:footnote w:id="10">
    <w:p w:rsidR="00E96E91" w:rsidRDefault="00E96E91" w:rsidP="009938E3">
      <w:pPr>
        <w:pStyle w:val="FootnoteText"/>
        <w:spacing w:after="120"/>
      </w:pPr>
      <w:r w:rsidRPr="00FE06FE">
        <w:rPr>
          <w:rStyle w:val="FootnoteReference"/>
        </w:rPr>
        <w:footnoteRef/>
      </w:r>
      <w:r w:rsidRPr="00FE06FE">
        <w:t xml:space="preserve"> </w:t>
      </w:r>
      <w:r w:rsidR="00FE06FE" w:rsidRPr="00FE06FE">
        <w:rPr>
          <w:spacing w:val="-2"/>
        </w:rPr>
        <w:t xml:space="preserve">File No. </w:t>
      </w:r>
      <w:r w:rsidR="00FE06FE" w:rsidRPr="00FE06FE">
        <w:t xml:space="preserve">0005690754, Exhibit A:  Request for Waivers and Public Interest Statement </w:t>
      </w:r>
      <w:r w:rsidR="00FE06FE">
        <w:t>(filed Mar. 11, 2013) (</w:t>
      </w:r>
      <w:r w:rsidRPr="00FE06FE">
        <w:t>Madison Waiver Request</w:t>
      </w:r>
      <w:r w:rsidR="00FE06FE">
        <w:t>)</w:t>
      </w:r>
      <w:r w:rsidRPr="00FE06FE">
        <w:t xml:space="preserve"> at 1</w:t>
      </w:r>
      <w:r w:rsidR="00FE06FE">
        <w:t xml:space="preserve">; </w:t>
      </w:r>
      <w:r w:rsidR="00FE06FE" w:rsidRPr="00FE06FE">
        <w:rPr>
          <w:spacing w:val="-2"/>
        </w:rPr>
        <w:t xml:space="preserve">File No. </w:t>
      </w:r>
      <w:r w:rsidR="00FE06FE" w:rsidRPr="00FE06FE">
        <w:t>000569075</w:t>
      </w:r>
      <w:r w:rsidR="00FE06FE">
        <w:t>5</w:t>
      </w:r>
      <w:r w:rsidR="00FE06FE" w:rsidRPr="00FE06FE">
        <w:t xml:space="preserve">, Exhibit A:  Request for Waivers and Public Interest Statement </w:t>
      </w:r>
      <w:r w:rsidR="00FE06FE">
        <w:t>(filed Mar. 11, 2013) (</w:t>
      </w:r>
      <w:r w:rsidRPr="00FE06FE">
        <w:t>Lauderdale Waiver Request</w:t>
      </w:r>
      <w:r w:rsidR="00FE06FE">
        <w:t>)</w:t>
      </w:r>
      <w:r w:rsidRPr="00FE06FE">
        <w:t xml:space="preserve"> at 1.  EBC provides broadband service to Alexander Elementary School, Jackson Central-Merry High School, Jackson Careers &amp; Technology Magnet Intermediate School, Lane Technology Magnet Elementary School, Lincoln Magnet School for Mathematics, Madison Academic High School, and Whitehall Enhanced</w:t>
      </w:r>
      <w:r>
        <w:t xml:space="preserve"> Option Community Elementary School in the Madison market.  </w:t>
      </w:r>
      <w:r w:rsidR="00A36938">
        <w:rPr>
          <w:i/>
        </w:rPr>
        <w:t xml:space="preserve">See </w:t>
      </w:r>
      <w:r w:rsidR="00A36938">
        <w:t xml:space="preserve">Required Notification of Construction, </w:t>
      </w:r>
      <w:r>
        <w:t>File No. 0004894013</w:t>
      </w:r>
      <w:r w:rsidR="00A36938">
        <w:t>, Demonstration of Substantial Service (filed Sep. 29, 2011)</w:t>
      </w:r>
      <w:r>
        <w:t xml:space="preserve">.  EBC provides broadband service to Andrew Jackson Intermediate School, Arlington International Leadership School, and I.B. Tigrett Middle School in the Lauderdale market.  </w:t>
      </w:r>
      <w:r w:rsidR="00A36938">
        <w:rPr>
          <w:i/>
        </w:rPr>
        <w:t xml:space="preserve">See </w:t>
      </w:r>
      <w:r w:rsidR="00A36938">
        <w:t xml:space="preserve">Required Notification of Construction, </w:t>
      </w:r>
      <w:r>
        <w:t>File No. 0004918561</w:t>
      </w:r>
      <w:r w:rsidR="00F624AB">
        <w:t>, Demonstration of Substantial Service</w:t>
      </w:r>
      <w:r w:rsidR="00A36938">
        <w:t xml:space="preserve"> (filed Oct. 20, 2011)</w:t>
      </w:r>
      <w:r>
        <w:t>.</w:t>
      </w:r>
    </w:p>
  </w:footnote>
  <w:footnote w:id="11">
    <w:p w:rsidR="00E96E91" w:rsidRDefault="00E96E91" w:rsidP="009938E3">
      <w:pPr>
        <w:pStyle w:val="FootnoteText"/>
        <w:spacing w:after="120"/>
      </w:pPr>
      <w:r>
        <w:rPr>
          <w:rStyle w:val="FootnoteReference"/>
        </w:rPr>
        <w:footnoteRef/>
      </w:r>
      <w:r>
        <w:t xml:space="preserve"> Madison Waiver Request at 2</w:t>
      </w:r>
      <w:r w:rsidR="00F624AB">
        <w:t>;</w:t>
      </w:r>
      <w:r>
        <w:t xml:space="preserve"> Lauderdale Waive</w:t>
      </w:r>
      <w:r w:rsidR="00F624AB">
        <w:t>r</w:t>
      </w:r>
      <w:r>
        <w:t xml:space="preserve"> Request at 2.</w:t>
      </w:r>
    </w:p>
  </w:footnote>
  <w:footnote w:id="12">
    <w:p w:rsidR="00E96E91" w:rsidRDefault="00E96E91" w:rsidP="009938E3">
      <w:pPr>
        <w:pStyle w:val="FootnoteText"/>
        <w:spacing w:after="120"/>
      </w:pPr>
      <w:r>
        <w:rPr>
          <w:rStyle w:val="FootnoteReference"/>
        </w:rPr>
        <w:footnoteRef/>
      </w:r>
      <w:r>
        <w:t xml:space="preserve"> Madison Waiver Request at 2</w:t>
      </w:r>
      <w:r w:rsidR="00F624AB">
        <w:t>;</w:t>
      </w:r>
      <w:r>
        <w:t xml:space="preserve"> Lauderdale Waiver Request at 2.</w:t>
      </w:r>
    </w:p>
  </w:footnote>
  <w:footnote w:id="13">
    <w:p w:rsidR="00E96E91" w:rsidRDefault="00E96E91" w:rsidP="009938E3">
      <w:pPr>
        <w:pStyle w:val="FootnoteText"/>
        <w:spacing w:after="120"/>
      </w:pPr>
      <w:r>
        <w:rPr>
          <w:rStyle w:val="FootnoteReference"/>
        </w:rPr>
        <w:footnoteRef/>
      </w:r>
      <w:r>
        <w:t xml:space="preserve"> Madison Waiver Request at 2</w:t>
      </w:r>
      <w:r w:rsidR="00F624AB">
        <w:t>;</w:t>
      </w:r>
      <w:r>
        <w:t xml:space="preserve"> Lauderdale Waiver Request at 2.</w:t>
      </w:r>
    </w:p>
  </w:footnote>
  <w:footnote w:id="14">
    <w:p w:rsidR="00E96E91" w:rsidRDefault="00E96E91" w:rsidP="00551D53">
      <w:pPr>
        <w:pStyle w:val="FootnoteText"/>
        <w:spacing w:after="120"/>
      </w:pPr>
      <w:r>
        <w:rPr>
          <w:rStyle w:val="FootnoteReference"/>
        </w:rPr>
        <w:footnoteRef/>
      </w:r>
      <w:r>
        <w:t xml:space="preserve"> Madison Waiver Request at 1</w:t>
      </w:r>
      <w:r w:rsidR="00F624AB">
        <w:t>;</w:t>
      </w:r>
      <w:r>
        <w:t xml:space="preserve"> Lauderdale Waive</w:t>
      </w:r>
      <w:r w:rsidR="00F624AB">
        <w:t>r</w:t>
      </w:r>
      <w:r>
        <w:t xml:space="preserve"> Request at 1.</w:t>
      </w:r>
    </w:p>
  </w:footnote>
  <w:footnote w:id="15">
    <w:p w:rsidR="00E96E91" w:rsidRDefault="00E96E91" w:rsidP="00551D53">
      <w:pPr>
        <w:pStyle w:val="FootnoteText"/>
        <w:spacing w:after="120"/>
      </w:pPr>
      <w:r>
        <w:rPr>
          <w:rStyle w:val="FootnoteReference"/>
        </w:rPr>
        <w:footnoteRef/>
      </w:r>
      <w:r>
        <w:t xml:space="preserve"> File No. 0004436710</w:t>
      </w:r>
      <w:r w:rsidR="00504063">
        <w:t xml:space="preserve"> (filed Oct. 29, 2010, consented to and consummated Oct. 30, 2010)</w:t>
      </w:r>
      <w:r>
        <w:t>.</w:t>
      </w:r>
    </w:p>
  </w:footnote>
  <w:footnote w:id="16">
    <w:p w:rsidR="00E96E91" w:rsidRDefault="00E96E91" w:rsidP="00551D53">
      <w:pPr>
        <w:pStyle w:val="FootnoteText"/>
        <w:spacing w:after="120"/>
      </w:pPr>
      <w:r>
        <w:rPr>
          <w:rStyle w:val="FootnoteReference"/>
        </w:rPr>
        <w:footnoteRef/>
      </w:r>
      <w:r w:rsidR="00F425E8">
        <w:t xml:space="preserve"> File No. </w:t>
      </w:r>
      <w:r w:rsidR="00F425E8" w:rsidRPr="00F425E8">
        <w:t>0004449917</w:t>
      </w:r>
      <w:r w:rsidR="00F425E8">
        <w:t xml:space="preserve"> (filed Nov. 12, 2010, granted Nov. 13, 2010)</w:t>
      </w:r>
      <w:r>
        <w:t>.</w:t>
      </w:r>
    </w:p>
  </w:footnote>
  <w:footnote w:id="17">
    <w:p w:rsidR="00E96E91" w:rsidRDefault="00E96E91" w:rsidP="00551D53">
      <w:pPr>
        <w:pStyle w:val="FootnoteText"/>
        <w:spacing w:after="120"/>
      </w:pPr>
      <w:r>
        <w:rPr>
          <w:rStyle w:val="FootnoteReference"/>
        </w:rPr>
        <w:footnoteRef/>
      </w:r>
      <w:r>
        <w:t xml:space="preserve"> </w:t>
      </w:r>
      <w:r w:rsidR="00F425E8">
        <w:t xml:space="preserve">File No. </w:t>
      </w:r>
      <w:r w:rsidR="00F425E8" w:rsidRPr="00F425E8">
        <w:t xml:space="preserve">0005110789 </w:t>
      </w:r>
      <w:r w:rsidR="00F425E8">
        <w:t>(filed Mar. 19, 2012, granted Mar. 21, 2012).</w:t>
      </w:r>
    </w:p>
  </w:footnote>
  <w:footnote w:id="18">
    <w:p w:rsidR="00E96E91" w:rsidRDefault="00E96E91" w:rsidP="00551D53">
      <w:pPr>
        <w:pStyle w:val="FootnoteText"/>
        <w:spacing w:after="120"/>
      </w:pPr>
      <w:r>
        <w:rPr>
          <w:rStyle w:val="FootnoteReference"/>
        </w:rPr>
        <w:footnoteRef/>
      </w:r>
      <w:r>
        <w:t xml:space="preserve"> File No. 0004776074</w:t>
      </w:r>
      <w:r w:rsidR="00504063">
        <w:t xml:space="preserve"> (filed June 22, 2011, consented to and consummated July 15, 2011)</w:t>
      </w:r>
      <w:r>
        <w:t>.</w:t>
      </w:r>
    </w:p>
  </w:footnote>
  <w:footnote w:id="19">
    <w:p w:rsidR="00E96E91" w:rsidRDefault="00E96E91" w:rsidP="00551D53">
      <w:pPr>
        <w:pStyle w:val="FootnoteText"/>
        <w:spacing w:after="120"/>
      </w:pPr>
      <w:r>
        <w:rPr>
          <w:rStyle w:val="FootnoteReference"/>
        </w:rPr>
        <w:footnoteRef/>
      </w:r>
      <w:r>
        <w:t xml:space="preserve"> </w:t>
      </w:r>
      <w:r w:rsidR="00E72288">
        <w:t xml:space="preserve">File No. </w:t>
      </w:r>
      <w:r w:rsidR="00E72288" w:rsidRPr="00F425E8">
        <w:t xml:space="preserve">0005110789 </w:t>
      </w:r>
      <w:r w:rsidR="00E72288">
        <w:t>(filed Mar. 19, 2012, granted Mar. 21, 2012).</w:t>
      </w:r>
    </w:p>
  </w:footnote>
  <w:footnote w:id="20">
    <w:p w:rsidR="00E96E91" w:rsidRDefault="00E96E91" w:rsidP="00551D53">
      <w:pPr>
        <w:pStyle w:val="FootnoteText"/>
        <w:spacing w:after="120"/>
      </w:pPr>
      <w:r>
        <w:rPr>
          <w:rStyle w:val="FootnoteReference"/>
        </w:rPr>
        <w:footnoteRef/>
      </w:r>
      <w:r>
        <w:t xml:space="preserve"> Madison Waiver Request at 1</w:t>
      </w:r>
      <w:r w:rsidR="00F624AB">
        <w:t>;</w:t>
      </w:r>
      <w:r>
        <w:t xml:space="preserve"> Lauderdale Waiver Request at 1.</w:t>
      </w:r>
    </w:p>
  </w:footnote>
  <w:footnote w:id="21">
    <w:p w:rsidR="00E96E91" w:rsidRPr="00E72288" w:rsidRDefault="00E96E91" w:rsidP="00E72288">
      <w:pPr>
        <w:pStyle w:val="NormalWeb"/>
        <w:shd w:val="clear" w:color="auto" w:fill="FFFFFF"/>
        <w:spacing w:before="0" w:beforeAutospacing="0" w:after="120" w:afterAutospacing="0" w:line="270" w:lineRule="atLeast"/>
        <w:rPr>
          <w:sz w:val="20"/>
          <w:szCs w:val="20"/>
        </w:rPr>
      </w:pPr>
      <w:r w:rsidRPr="00E72288">
        <w:rPr>
          <w:rStyle w:val="FootnoteReference"/>
          <w:sz w:val="20"/>
          <w:szCs w:val="20"/>
        </w:rPr>
        <w:footnoteRef/>
      </w:r>
      <w:r w:rsidRPr="00E72288">
        <w:rPr>
          <w:sz w:val="20"/>
          <w:szCs w:val="20"/>
        </w:rPr>
        <w:t xml:space="preserve"> Madison Waiver Request at 2</w:t>
      </w:r>
      <w:r w:rsidR="00D4557E" w:rsidRPr="00E72288">
        <w:rPr>
          <w:sz w:val="20"/>
          <w:szCs w:val="20"/>
        </w:rPr>
        <w:t>;</w:t>
      </w:r>
      <w:r w:rsidR="00A27370" w:rsidRPr="00E72288">
        <w:rPr>
          <w:rFonts w:ascii="Arial" w:hAnsi="Arial" w:cs="Arial"/>
          <w:color w:val="000000"/>
          <w:sz w:val="20"/>
          <w:szCs w:val="20"/>
        </w:rPr>
        <w:t xml:space="preserve"> </w:t>
      </w:r>
      <w:r w:rsidRPr="00E72288">
        <w:rPr>
          <w:sz w:val="20"/>
          <w:szCs w:val="20"/>
        </w:rPr>
        <w:t>Lauderdale Waive</w:t>
      </w:r>
      <w:r w:rsidR="002F650E" w:rsidRPr="00E72288">
        <w:rPr>
          <w:sz w:val="20"/>
          <w:szCs w:val="20"/>
        </w:rPr>
        <w:t>r</w:t>
      </w:r>
      <w:r w:rsidRPr="00E72288">
        <w:rPr>
          <w:sz w:val="20"/>
          <w:szCs w:val="20"/>
        </w:rPr>
        <w:t xml:space="preserve"> Request at 2.</w:t>
      </w:r>
    </w:p>
  </w:footnote>
  <w:footnote w:id="22">
    <w:p w:rsidR="000D65FE" w:rsidRPr="00DD5D96" w:rsidRDefault="000D65FE" w:rsidP="00E72288">
      <w:pPr>
        <w:pStyle w:val="FootnoteText"/>
        <w:spacing w:after="120"/>
      </w:pPr>
      <w:r w:rsidRPr="00E72288">
        <w:rPr>
          <w:rStyle w:val="FootnoteReference"/>
        </w:rPr>
        <w:footnoteRef/>
      </w:r>
      <w:r w:rsidRPr="00E72288">
        <w:t xml:space="preserve"> </w:t>
      </w:r>
      <w:r w:rsidR="00DD5D96" w:rsidRPr="00E72288">
        <w:t>In Madison, the A-group channels (Station WLX819) are licensed to Freed-Hardeman University and leased to Clearwire; the B-groups channels (Station WLX818) are licensed to</w:t>
      </w:r>
      <w:r w:rsidR="00DD5D96" w:rsidRPr="00DD5D96">
        <w:t xml:space="preserve"> Lambuth University and leased to Clearwire; the C-group channels (Station WNC986) are licensed to Jackson State Community College and leased to Clearwire; and the G-group channels (Station WLX817) are licensed to EBC and leased to Wisper.</w:t>
      </w:r>
      <w:r w:rsidR="00DD5D96">
        <w:t xml:space="preserve">  </w:t>
      </w:r>
      <w:r w:rsidR="00DD5D96">
        <w:rPr>
          <w:i/>
        </w:rPr>
        <w:t xml:space="preserve">See </w:t>
      </w:r>
      <w:r w:rsidR="00DD5D96">
        <w:t xml:space="preserve">File No. 0005690754, Exhibit A.  </w:t>
      </w:r>
      <w:r w:rsidR="00DD5D96" w:rsidRPr="00DD5D96">
        <w:t>In Lauderdale, the B-group channels (Station WNC201) are licensed to Cooter Reorganized School District R-IV (B-group channels) and leased to Clearwire; the C-group channels (Station WLX617) are licensed to Armorel School District #9 and leased to Clearwire; the D-group channels (Station WLX618) are licensed to South Pemiscot District R-V and leased to Clearwire; and the G-group channels (Station WLX621) are licensed to EBC and is leased to Wisper.</w:t>
      </w:r>
      <w:r w:rsidR="00DD5D96">
        <w:t xml:space="preserve">  File No. 0005690755, Exhibit A.</w:t>
      </w:r>
    </w:p>
  </w:footnote>
  <w:footnote w:id="23">
    <w:p w:rsidR="00E96E91" w:rsidRDefault="00E96E91" w:rsidP="00831CE6">
      <w:pPr>
        <w:pStyle w:val="FootnoteText"/>
        <w:spacing w:after="120"/>
      </w:pPr>
      <w:r>
        <w:rPr>
          <w:rStyle w:val="FootnoteReference"/>
        </w:rPr>
        <w:footnoteRef/>
      </w:r>
      <w:r>
        <w:t xml:space="preserve"> Madison Waiver Request at 2.  </w:t>
      </w:r>
    </w:p>
  </w:footnote>
  <w:footnote w:id="24">
    <w:p w:rsidR="00E96E91" w:rsidRDefault="00E96E91" w:rsidP="00831CE6">
      <w:pPr>
        <w:pStyle w:val="FootnoteText"/>
        <w:spacing w:after="120"/>
      </w:pPr>
      <w:r>
        <w:rPr>
          <w:rStyle w:val="FootnoteReference"/>
        </w:rPr>
        <w:footnoteRef/>
      </w:r>
      <w:r>
        <w:t xml:space="preserve"> Lauderdale Waive</w:t>
      </w:r>
      <w:r w:rsidR="00F83B9E">
        <w:t>r</w:t>
      </w:r>
      <w:r>
        <w:t xml:space="preserve"> Request at 2.</w:t>
      </w:r>
    </w:p>
  </w:footnote>
  <w:footnote w:id="25">
    <w:p w:rsidR="00E96E91" w:rsidRDefault="00E96E91" w:rsidP="00E21F8F">
      <w:pPr>
        <w:pStyle w:val="FootnoteText"/>
        <w:spacing w:after="120"/>
      </w:pPr>
      <w:r>
        <w:rPr>
          <w:rStyle w:val="FootnoteReference"/>
        </w:rPr>
        <w:footnoteRef/>
      </w:r>
      <w:r>
        <w:t xml:space="preserve"> Madison Waiver Request at 2</w:t>
      </w:r>
      <w:r w:rsidR="00F83B9E">
        <w:t>;</w:t>
      </w:r>
      <w:r>
        <w:t xml:space="preserve"> Lauderdale Waive</w:t>
      </w:r>
      <w:r w:rsidR="00F83B9E">
        <w:t>r</w:t>
      </w:r>
      <w:r>
        <w:t xml:space="preserve"> Request at 2.</w:t>
      </w:r>
    </w:p>
  </w:footnote>
  <w:footnote w:id="26">
    <w:p w:rsidR="002322BA" w:rsidRDefault="002322BA" w:rsidP="002322BA">
      <w:pPr>
        <w:pStyle w:val="FootnoteText"/>
        <w:spacing w:after="120"/>
      </w:pPr>
      <w:r>
        <w:rPr>
          <w:rStyle w:val="FootnoteReference"/>
        </w:rPr>
        <w:footnoteRef/>
      </w:r>
      <w:r>
        <w:t xml:space="preserve"> Madison Waiver Request at 1; Lauderdale Waiver Request at 1.</w:t>
      </w:r>
    </w:p>
  </w:footnote>
  <w:footnote w:id="27">
    <w:p w:rsidR="002322BA" w:rsidRDefault="002322BA" w:rsidP="002322BA">
      <w:pPr>
        <w:pStyle w:val="FootnoteText"/>
        <w:spacing w:after="120"/>
      </w:pPr>
      <w:r>
        <w:rPr>
          <w:rStyle w:val="FootnoteReference"/>
        </w:rPr>
        <w:footnoteRef/>
      </w:r>
      <w:r>
        <w:t xml:space="preserve"> Madison Waiver Request at 1-2; Lauderdale Waiver Request at 1.</w:t>
      </w:r>
    </w:p>
  </w:footnote>
  <w:footnote w:id="28">
    <w:p w:rsidR="002322BA" w:rsidRDefault="002322BA" w:rsidP="002322BA">
      <w:pPr>
        <w:pStyle w:val="FootnoteText"/>
        <w:spacing w:after="120"/>
      </w:pPr>
      <w:r>
        <w:rPr>
          <w:rStyle w:val="FootnoteReference"/>
        </w:rPr>
        <w:footnoteRef/>
      </w:r>
      <w:r>
        <w:t xml:space="preserve"> Madison Waiver Request at 1; Lauderdale Waiver Request at 1.</w:t>
      </w:r>
    </w:p>
  </w:footnote>
  <w:footnote w:id="29">
    <w:p w:rsidR="002322BA" w:rsidRDefault="002322BA" w:rsidP="002322BA">
      <w:pPr>
        <w:pStyle w:val="FootnoteText"/>
        <w:spacing w:after="120"/>
      </w:pPr>
      <w:r>
        <w:rPr>
          <w:rStyle w:val="FootnoteReference"/>
        </w:rPr>
        <w:footnoteRef/>
      </w:r>
      <w:r>
        <w:t xml:space="preserve"> Madison Waiver Request at 2; Lauderdale Waiver Request at 2.</w:t>
      </w:r>
    </w:p>
  </w:footnote>
  <w:footnote w:id="30">
    <w:p w:rsidR="002322BA" w:rsidRPr="00E72288" w:rsidRDefault="002322BA" w:rsidP="002322BA">
      <w:pPr>
        <w:pStyle w:val="FootnoteText"/>
        <w:spacing w:after="120"/>
      </w:pPr>
      <w:r w:rsidRPr="00E72288">
        <w:rPr>
          <w:rStyle w:val="FootnoteReference"/>
        </w:rPr>
        <w:footnoteRef/>
      </w:r>
      <w:r w:rsidRPr="00E72288">
        <w:t xml:space="preserve"> Madison Waiver Request at 2; Lauderdale Waiver Request at 2.</w:t>
      </w:r>
    </w:p>
  </w:footnote>
  <w:footnote w:id="31">
    <w:p w:rsidR="00E96E91" w:rsidRDefault="00E96E91" w:rsidP="00E21F8F">
      <w:pPr>
        <w:pStyle w:val="FootnoteText"/>
        <w:spacing w:after="120"/>
      </w:pPr>
      <w:r>
        <w:rPr>
          <w:rStyle w:val="FootnoteReference"/>
        </w:rPr>
        <w:footnoteRef/>
      </w:r>
      <w:r>
        <w:t xml:space="preserve"> </w:t>
      </w:r>
      <w:r w:rsidRPr="00E21F8F">
        <w:rPr>
          <w:i/>
        </w:rPr>
        <w:t>See</w:t>
      </w:r>
      <w:r>
        <w:t xml:space="preserve"> Wireless Telecommunications Bureau Market-Based Applications Accepted for Filing, Report No. 85</w:t>
      </w:r>
      <w:r w:rsidR="002F650E">
        <w:t>37</w:t>
      </w:r>
      <w:r>
        <w:t xml:space="preserve">, </w:t>
      </w:r>
      <w:r w:rsidRPr="00E21F8F">
        <w:rPr>
          <w:i/>
        </w:rPr>
        <w:t>Public Notice</w:t>
      </w:r>
      <w:r>
        <w:t xml:space="preserve"> (rel. Mar. </w:t>
      </w:r>
      <w:r w:rsidR="002F650E">
        <w:t>20</w:t>
      </w:r>
      <w:r>
        <w:t>, 20</w:t>
      </w:r>
      <w:r w:rsidR="002F650E">
        <w:t>1</w:t>
      </w:r>
      <w:r>
        <w:t xml:space="preserve">3) at </w:t>
      </w:r>
      <w:r w:rsidR="002F650E">
        <w:t>3</w:t>
      </w:r>
      <w:r>
        <w:t>.</w:t>
      </w:r>
    </w:p>
  </w:footnote>
  <w:footnote w:id="32">
    <w:p w:rsidR="00E96E91" w:rsidRDefault="00E96E91" w:rsidP="00E21F8F">
      <w:pPr>
        <w:pStyle w:val="FootnoteText"/>
        <w:spacing w:after="120"/>
      </w:pPr>
      <w:r>
        <w:rPr>
          <w:rStyle w:val="FootnoteReference"/>
        </w:rPr>
        <w:footnoteRef/>
      </w:r>
      <w:r>
        <w:t xml:space="preserve"> Objection to Applications and Waivers, National EBS Association and Catholic Television Network (filed Apr. 16, 2013) (“CTN/NEBSA Objection”).</w:t>
      </w:r>
    </w:p>
  </w:footnote>
  <w:footnote w:id="33">
    <w:p w:rsidR="00E96E91" w:rsidRDefault="00E96E91" w:rsidP="00E21F8F">
      <w:pPr>
        <w:pStyle w:val="FootnoteText"/>
        <w:spacing w:after="120"/>
      </w:pPr>
      <w:r>
        <w:rPr>
          <w:rStyle w:val="FootnoteReference"/>
        </w:rPr>
        <w:footnoteRef/>
      </w:r>
      <w:r>
        <w:t xml:space="preserve"> CTN/NEBSA Objection at 1.</w:t>
      </w:r>
    </w:p>
  </w:footnote>
  <w:footnote w:id="34">
    <w:p w:rsidR="00E96E91" w:rsidRDefault="00E96E91" w:rsidP="00E21F8F">
      <w:pPr>
        <w:pStyle w:val="FootnoteText"/>
        <w:spacing w:after="120"/>
      </w:pPr>
      <w:r>
        <w:rPr>
          <w:rStyle w:val="FootnoteReference"/>
        </w:rPr>
        <w:footnoteRef/>
      </w:r>
      <w:r>
        <w:t xml:space="preserve"> CTN/NEBSA Objection at 3.</w:t>
      </w:r>
    </w:p>
  </w:footnote>
  <w:footnote w:id="35">
    <w:p w:rsidR="00E96E91" w:rsidRDefault="00E96E91" w:rsidP="00E21F8F">
      <w:pPr>
        <w:pStyle w:val="FootnoteText"/>
        <w:spacing w:after="120"/>
      </w:pPr>
      <w:r>
        <w:rPr>
          <w:rStyle w:val="FootnoteReference"/>
        </w:rPr>
        <w:footnoteRef/>
      </w:r>
      <w:r>
        <w:t xml:space="preserve"> Reply to Objection to Applications and Freezes, Educational Broadband Corporation (filed Apr. 30, 2013).</w:t>
      </w:r>
    </w:p>
  </w:footnote>
  <w:footnote w:id="36">
    <w:p w:rsidR="00E96E91" w:rsidRDefault="00E96E91" w:rsidP="00652F9D">
      <w:pPr>
        <w:pStyle w:val="FootnoteText"/>
        <w:spacing w:after="120"/>
      </w:pPr>
      <w:r>
        <w:rPr>
          <w:rStyle w:val="FootnoteReference"/>
        </w:rPr>
        <w:footnoteRef/>
      </w:r>
      <w:r>
        <w:t xml:space="preserve"> </w:t>
      </w:r>
      <w:r w:rsidRPr="004D70D6">
        <w:rPr>
          <w:i/>
        </w:rPr>
        <w:t>See</w:t>
      </w:r>
      <w:r>
        <w:t xml:space="preserve"> 47 C.F.R. § 1.41.</w:t>
      </w:r>
    </w:p>
  </w:footnote>
  <w:footnote w:id="37">
    <w:p w:rsidR="00E96E91" w:rsidRDefault="00E96E91" w:rsidP="00F4561A">
      <w:pPr>
        <w:pStyle w:val="FootnoteText"/>
        <w:spacing w:after="120"/>
      </w:pPr>
      <w:r>
        <w:rPr>
          <w:rStyle w:val="FootnoteReference"/>
        </w:rPr>
        <w:footnoteRef/>
      </w:r>
      <w:r>
        <w:t xml:space="preserve"> 47 C.F.R. § 1.925(b)(3).</w:t>
      </w:r>
    </w:p>
  </w:footnote>
  <w:footnote w:id="38">
    <w:p w:rsidR="00E96E91" w:rsidRDefault="00E96E91" w:rsidP="00F4561A">
      <w:pPr>
        <w:pStyle w:val="FootnoteText"/>
        <w:spacing w:after="120"/>
      </w:pPr>
      <w:r>
        <w:rPr>
          <w:rStyle w:val="FootnoteReference"/>
        </w:rPr>
        <w:footnoteRef/>
      </w:r>
      <w:r>
        <w:t xml:space="preserve"> Madison Waiver Request at 2-3</w:t>
      </w:r>
      <w:r w:rsidR="004E4420">
        <w:t>;</w:t>
      </w:r>
      <w:r>
        <w:t xml:space="preserve"> Lauderdale Waive</w:t>
      </w:r>
      <w:r w:rsidR="005E09C8">
        <w:t>r</w:t>
      </w:r>
      <w:r>
        <w:t xml:space="preserve"> Request at 2-3.</w:t>
      </w:r>
    </w:p>
  </w:footnote>
  <w:footnote w:id="39">
    <w:p w:rsidR="00E96E91" w:rsidRDefault="00E96E91" w:rsidP="00F4561A">
      <w:pPr>
        <w:pStyle w:val="FootnoteText"/>
        <w:spacing w:after="120"/>
      </w:pPr>
      <w:r>
        <w:rPr>
          <w:rStyle w:val="FootnoteReference"/>
        </w:rPr>
        <w:footnoteRef/>
      </w:r>
      <w:r>
        <w:t xml:space="preserve"> Madison Waiver Request at 2</w:t>
      </w:r>
      <w:r w:rsidR="005E09C8">
        <w:t>;</w:t>
      </w:r>
      <w:r>
        <w:t xml:space="preserve"> Lauderdale Waive</w:t>
      </w:r>
      <w:r w:rsidR="005E09C8">
        <w:t>r</w:t>
      </w:r>
      <w:r>
        <w:t xml:space="preserve"> Request at 2.</w:t>
      </w:r>
    </w:p>
  </w:footnote>
  <w:footnote w:id="40">
    <w:p w:rsidR="00E96E91" w:rsidRDefault="00E96E91" w:rsidP="00F4561A">
      <w:pPr>
        <w:pStyle w:val="FootnoteText"/>
        <w:spacing w:after="120"/>
      </w:pPr>
      <w:r>
        <w:rPr>
          <w:rStyle w:val="FootnoteReference"/>
        </w:rPr>
        <w:footnoteRef/>
      </w:r>
      <w:r>
        <w:t xml:space="preserve"> Madison Waiver Request at 1-2</w:t>
      </w:r>
      <w:r w:rsidR="005E09C8">
        <w:t>;</w:t>
      </w:r>
      <w:r>
        <w:t xml:space="preserve"> Lauderdale Waive</w:t>
      </w:r>
      <w:r w:rsidR="005E09C8">
        <w:t>r</w:t>
      </w:r>
      <w:r>
        <w:t xml:space="preserve"> Request at 1-2.</w:t>
      </w:r>
    </w:p>
  </w:footnote>
  <w:footnote w:id="41">
    <w:p w:rsidR="00E96E91" w:rsidRDefault="00E96E91" w:rsidP="00F4561A">
      <w:pPr>
        <w:pStyle w:val="FootnoteText"/>
        <w:spacing w:after="120"/>
      </w:pPr>
      <w:r>
        <w:rPr>
          <w:rStyle w:val="FootnoteReference"/>
        </w:rPr>
        <w:footnoteRef/>
      </w:r>
      <w:r>
        <w:t xml:space="preserve"> Madison Waiver Request at 2</w:t>
      </w:r>
      <w:r w:rsidR="005E09C8">
        <w:t>;</w:t>
      </w:r>
      <w:r>
        <w:t xml:space="preserve"> Lauderdale Waive</w:t>
      </w:r>
      <w:r w:rsidR="005E09C8">
        <w:t>r</w:t>
      </w:r>
      <w:r>
        <w:t xml:space="preserve"> Request at 2.</w:t>
      </w:r>
    </w:p>
  </w:footnote>
  <w:footnote w:id="42">
    <w:p w:rsidR="00E96E91" w:rsidRDefault="00E96E91" w:rsidP="00AE6106">
      <w:pPr>
        <w:pStyle w:val="FootnoteText"/>
        <w:spacing w:after="120"/>
      </w:pPr>
      <w:r>
        <w:rPr>
          <w:rStyle w:val="FootnoteReference"/>
        </w:rPr>
        <w:footnoteRef/>
      </w:r>
      <w:r>
        <w:t xml:space="preserve"> Madison Waiver Request at 1-2</w:t>
      </w:r>
      <w:r w:rsidR="005E09C8">
        <w:t>;</w:t>
      </w:r>
      <w:r>
        <w:t xml:space="preserve"> Lauderdale Waive</w:t>
      </w:r>
      <w:r w:rsidR="005E09C8">
        <w:t>r</w:t>
      </w:r>
      <w:r>
        <w:t xml:space="preserve"> Request at 1-2.</w:t>
      </w:r>
    </w:p>
  </w:footnote>
  <w:footnote w:id="43">
    <w:p w:rsidR="00E96E91" w:rsidRDefault="00E96E91" w:rsidP="00AE6106">
      <w:pPr>
        <w:pStyle w:val="FootnoteText"/>
        <w:spacing w:after="120"/>
      </w:pPr>
      <w:r>
        <w:rPr>
          <w:rStyle w:val="FootnoteReference"/>
        </w:rPr>
        <w:footnoteRef/>
      </w:r>
      <w:r>
        <w:t xml:space="preserve"> Madison Waiver Request at 2-3</w:t>
      </w:r>
      <w:r w:rsidR="005E09C8">
        <w:t>;</w:t>
      </w:r>
      <w:r>
        <w:t xml:space="preserve"> Lauderdale Waive</w:t>
      </w:r>
      <w:r w:rsidR="005E09C8">
        <w:t>r</w:t>
      </w:r>
      <w:r>
        <w:t xml:space="preserve"> Request at 2-3.</w:t>
      </w:r>
    </w:p>
  </w:footnote>
  <w:footnote w:id="44">
    <w:p w:rsidR="00E96E91" w:rsidRDefault="00E96E91" w:rsidP="00AE6106">
      <w:pPr>
        <w:pStyle w:val="FootnoteText"/>
        <w:spacing w:after="120"/>
      </w:pPr>
      <w:r>
        <w:rPr>
          <w:rStyle w:val="FootnoteReference"/>
        </w:rPr>
        <w:footnoteRef/>
      </w:r>
      <w:r>
        <w:t xml:space="preserve"> Madison Waiver Request at 3</w:t>
      </w:r>
      <w:r w:rsidR="005E09C8">
        <w:t>;</w:t>
      </w:r>
      <w:r>
        <w:t xml:space="preserve"> Lauderdale Waive</w:t>
      </w:r>
      <w:r w:rsidR="005E09C8">
        <w:t>r</w:t>
      </w:r>
      <w:r>
        <w:t xml:space="preserve"> Request at 3.</w:t>
      </w:r>
    </w:p>
  </w:footnote>
  <w:footnote w:id="45">
    <w:p w:rsidR="00E96E91" w:rsidRDefault="00E96E91" w:rsidP="008F64CF">
      <w:pPr>
        <w:pStyle w:val="FootnoteText"/>
        <w:spacing w:after="120"/>
      </w:pPr>
      <w:r>
        <w:rPr>
          <w:rStyle w:val="FootnoteReference"/>
        </w:rPr>
        <w:footnoteRef/>
      </w:r>
      <w:r>
        <w:t xml:space="preserve"> Application of the Board of Trustees of Northern Michigan University, </w:t>
      </w:r>
      <w:r w:rsidRPr="006B2CEE">
        <w:rPr>
          <w:i/>
        </w:rPr>
        <w:t>Memorandum Opinion and Order</w:t>
      </w:r>
      <w:r>
        <w:t>, 23 FCC Rcd 11832 (2008) (“</w:t>
      </w:r>
      <w:r w:rsidRPr="006B2CEE">
        <w:rPr>
          <w:i/>
        </w:rPr>
        <w:t>NMU MO&amp;O</w:t>
      </w:r>
      <w:r>
        <w:t>”).</w:t>
      </w:r>
    </w:p>
  </w:footnote>
  <w:footnote w:id="46">
    <w:p w:rsidR="00E96E91" w:rsidRDefault="00E96E91" w:rsidP="008F64CF">
      <w:pPr>
        <w:pStyle w:val="FootnoteText"/>
        <w:spacing w:after="120"/>
      </w:pPr>
      <w:r>
        <w:rPr>
          <w:rStyle w:val="FootnoteReference"/>
        </w:rPr>
        <w:footnoteRef/>
      </w:r>
      <w:r>
        <w:t xml:space="preserve"> Gateway Telecom LLC </w:t>
      </w:r>
      <w:r w:rsidR="007A551D">
        <w:t>d</w:t>
      </w:r>
      <w:r>
        <w:t>/</w:t>
      </w:r>
      <w:r w:rsidR="007A551D">
        <w:t>b</w:t>
      </w:r>
      <w:r>
        <w:t>/</w:t>
      </w:r>
      <w:r w:rsidR="007A551D">
        <w:t>a</w:t>
      </w:r>
      <w:r>
        <w:t xml:space="preserve"> StratusWave Communications, </w:t>
      </w:r>
      <w:r w:rsidRPr="006B2CEE">
        <w:rPr>
          <w:i/>
        </w:rPr>
        <w:t>Memorandum Opinion and Order</w:t>
      </w:r>
      <w:r>
        <w:t>, 2</w:t>
      </w:r>
      <w:r w:rsidR="00090D51">
        <w:t>2</w:t>
      </w:r>
      <w:r>
        <w:t xml:space="preserve"> FCC Rcd 15789 (2007) (“</w:t>
      </w:r>
      <w:r w:rsidRPr="006B2CEE">
        <w:rPr>
          <w:i/>
        </w:rPr>
        <w:t>StratusWave MO&amp;O</w:t>
      </w:r>
      <w:r>
        <w:t>”).</w:t>
      </w:r>
    </w:p>
  </w:footnote>
  <w:footnote w:id="47">
    <w:p w:rsidR="00E96E91" w:rsidRDefault="00E96E91" w:rsidP="008F64CF">
      <w:pPr>
        <w:pStyle w:val="FootnoteText"/>
        <w:spacing w:after="120"/>
      </w:pPr>
      <w:r>
        <w:rPr>
          <w:rStyle w:val="FootnoteReference"/>
        </w:rPr>
        <w:footnoteRef/>
      </w:r>
      <w:r>
        <w:t xml:space="preserve"> </w:t>
      </w:r>
      <w:r w:rsidRPr="008F64CF">
        <w:rPr>
          <w:i/>
        </w:rPr>
        <w:t>NMU MO&amp;O</w:t>
      </w:r>
      <w:r>
        <w:t xml:space="preserve">, 23 FCC Rcd </w:t>
      </w:r>
      <w:r w:rsidR="00D3215B">
        <w:t xml:space="preserve">at </w:t>
      </w:r>
      <w:r>
        <w:t>1183</w:t>
      </w:r>
      <w:r w:rsidR="00D3215B">
        <w:t>4</w:t>
      </w:r>
      <w:r>
        <w:t xml:space="preserve"> ¶ 5</w:t>
      </w:r>
      <w:r w:rsidR="000920FE">
        <w:t>;</w:t>
      </w:r>
      <w:r>
        <w:t xml:space="preserve"> </w:t>
      </w:r>
      <w:r w:rsidRPr="008F64CF">
        <w:rPr>
          <w:i/>
        </w:rPr>
        <w:t>StratusWave MO&amp;O</w:t>
      </w:r>
      <w:r>
        <w:t xml:space="preserve">, 22 FCC Rcd </w:t>
      </w:r>
      <w:r w:rsidR="00D3215B">
        <w:t xml:space="preserve">at </w:t>
      </w:r>
      <w:r>
        <w:t>157</w:t>
      </w:r>
      <w:r w:rsidR="00D3215B">
        <w:t>94</w:t>
      </w:r>
      <w:r>
        <w:t xml:space="preserve"> ¶ 12.</w:t>
      </w:r>
    </w:p>
  </w:footnote>
  <w:footnote w:id="48">
    <w:p w:rsidR="00090D51" w:rsidRPr="00090D51" w:rsidRDefault="00090D51" w:rsidP="00090D51">
      <w:pPr>
        <w:pStyle w:val="FootnoteText"/>
        <w:spacing w:after="120"/>
      </w:pPr>
      <w:r>
        <w:rPr>
          <w:rStyle w:val="FootnoteReference"/>
        </w:rPr>
        <w:footnoteRef/>
      </w:r>
      <w:r>
        <w:t xml:space="preserve"> </w:t>
      </w:r>
      <w:r>
        <w:rPr>
          <w:i/>
        </w:rPr>
        <w:t>See</w:t>
      </w:r>
      <w:r>
        <w:t xml:space="preserve"> 47 C.F.R. § 27.1214.</w:t>
      </w:r>
    </w:p>
  </w:footnote>
  <w:footnote w:id="49">
    <w:p w:rsidR="009B78D6" w:rsidRPr="009B78D6" w:rsidRDefault="009B78D6" w:rsidP="009B78D6">
      <w:pPr>
        <w:pStyle w:val="FootnoteText"/>
        <w:spacing w:after="120"/>
      </w:pPr>
      <w:r>
        <w:rPr>
          <w:rStyle w:val="FootnoteReference"/>
        </w:rPr>
        <w:footnoteRef/>
      </w:r>
      <w:r>
        <w:t xml:space="preserve"> </w:t>
      </w:r>
      <w:r>
        <w:rPr>
          <w:i/>
        </w:rPr>
        <w:t>See</w:t>
      </w:r>
      <w:r>
        <w:t xml:space="preserve"> </w:t>
      </w:r>
      <w:r>
        <w:rPr>
          <w:i/>
        </w:rPr>
        <w:t>BRS/EBS R&amp;O and FNPRM</w:t>
      </w:r>
      <w:r>
        <w:t>, 19 FCC Rcd at 14234 ¶ 181.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3A" w:rsidRDefault="00204E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E91" w:rsidRDefault="00E96E91">
    <w:pPr>
      <w:pStyle w:val="Header"/>
      <w:tabs>
        <w:tab w:val="clear" w:pos="4320"/>
        <w:tab w:val="clear" w:pos="8640"/>
        <w:tab w:val="center" w:pos="4680"/>
        <w:tab w:val="right" w:pos="9360"/>
      </w:tabs>
      <w:rPr>
        <w:b/>
        <w:sz w:val="22"/>
        <w:szCs w:val="22"/>
      </w:rPr>
    </w:pPr>
    <w:r>
      <w:rPr>
        <w:b/>
      </w:rPr>
      <w:tab/>
    </w:r>
    <w:r>
      <w:rPr>
        <w:b/>
        <w:sz w:val="22"/>
        <w:szCs w:val="22"/>
      </w:rPr>
      <w:t>Federal Comm</w:t>
    </w:r>
    <w:r w:rsidR="00FD0349">
      <w:rPr>
        <w:b/>
        <w:sz w:val="22"/>
        <w:szCs w:val="22"/>
      </w:rPr>
      <w:t>unications Commission</w:t>
    </w:r>
    <w:r w:rsidR="00FD0349">
      <w:rPr>
        <w:b/>
        <w:sz w:val="22"/>
        <w:szCs w:val="22"/>
      </w:rPr>
      <w:tab/>
      <w:t>DA 13-2146</w:t>
    </w:r>
    <w:r>
      <w:rPr>
        <w:b/>
        <w:sz w:val="22"/>
        <w:szCs w:val="22"/>
      </w:rPr>
      <w:t xml:space="preserve"> </w:t>
    </w:r>
  </w:p>
  <w:p w:rsidR="00E96E91" w:rsidRDefault="00FD0349">
    <w:pPr>
      <w:pStyle w:val="Header"/>
      <w:tabs>
        <w:tab w:val="clear" w:pos="8640"/>
        <w:tab w:val="right" w:pos="9360"/>
      </w:tabs>
      <w:rPr>
        <w:sz w:val="22"/>
        <w:szCs w:val="22"/>
      </w:rPr>
    </w:pPr>
    <w:r>
      <w:rPr>
        <w:noProof/>
        <w:sz w:val="22"/>
        <w:szCs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13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" o:allowincell="f" strokeweight="1.5pt"/>
          </w:pict>
        </mc:Fallback>
      </mc:AlternateContent>
    </w:r>
  </w:p>
  <w:p w:rsidR="00E96E91" w:rsidRDefault="00E96E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E91" w:rsidRDefault="00E96E91">
    <w:pPr>
      <w:pStyle w:val="Header"/>
      <w:tabs>
        <w:tab w:val="clear" w:pos="4320"/>
        <w:tab w:val="clear" w:pos="8640"/>
        <w:tab w:val="center" w:pos="4680"/>
        <w:tab w:val="right" w:pos="9360"/>
      </w:tabs>
      <w:rPr>
        <w:b/>
        <w:sz w:val="22"/>
        <w:szCs w:val="22"/>
      </w:rPr>
    </w:pPr>
    <w:r>
      <w:rPr>
        <w:b/>
        <w:sz w:val="22"/>
        <w:szCs w:val="22"/>
      </w:rPr>
      <w:tab/>
      <w:t>Federal Comm</w:t>
    </w:r>
    <w:r w:rsidR="00FD0349">
      <w:rPr>
        <w:b/>
        <w:sz w:val="22"/>
        <w:szCs w:val="22"/>
      </w:rPr>
      <w:t>unications Commission</w:t>
    </w:r>
    <w:r w:rsidR="00FD0349">
      <w:rPr>
        <w:b/>
        <w:sz w:val="22"/>
        <w:szCs w:val="22"/>
      </w:rPr>
      <w:tab/>
      <w:t>DA 13-2146</w:t>
    </w:r>
    <w:r>
      <w:rPr>
        <w:b/>
        <w:sz w:val="22"/>
        <w:szCs w:val="22"/>
      </w:rPr>
      <w:t xml:space="preserve"> </w:t>
    </w:r>
  </w:p>
  <w:p w:rsidR="00E96E91" w:rsidRDefault="00FD0349">
    <w:pPr>
      <w:pStyle w:val="Header"/>
      <w:tabs>
        <w:tab w:val="clear" w:pos="8640"/>
        <w:tab w:val="right" w:pos="9360"/>
      </w:tabs>
      <w:rPr>
        <w:sz w:val="22"/>
        <w:szCs w:val="22"/>
      </w:rPr>
    </w:pPr>
    <w:r>
      <w:rPr>
        <w:noProof/>
        <w:sz w:val="22"/>
        <w:szCs w:val="22"/>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Qmp5QBECAAAp&#10;BAAADgAAAAAAAAAAAAAAAAAuAgAAZHJzL2Uyb0RvYy54bWxQSwECLQAUAAYACAAAACEA7ikortgA&#10;AAAEAQAADwAAAAAAAAAAAAAAAABrBAAAZHJzL2Rvd25yZXYueG1sUEsFBgAAAAAEAAQA8wAAAHAF&#10;AAAAAA==&#10;" o:allowincell="f" strokeweight="1.5pt"/>
          </w:pict>
        </mc:Fallback>
      </mc:AlternateContent>
    </w:r>
  </w:p>
  <w:p w:rsidR="00E96E91" w:rsidRDefault="00E96E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71C33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B708B2"/>
    <w:multiLevelType w:val="hybridMultilevel"/>
    <w:tmpl w:val="CD68BCB4"/>
    <w:lvl w:ilvl="0" w:tplc="B850633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886303"/>
    <w:multiLevelType w:val="hybridMultilevel"/>
    <w:tmpl w:val="5680DABC"/>
    <w:lvl w:ilvl="0" w:tplc="D68C3A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E261435"/>
    <w:multiLevelType w:val="hybridMultilevel"/>
    <w:tmpl w:val="EF76276A"/>
    <w:lvl w:ilvl="0" w:tplc="E7A06EA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75010F"/>
    <w:multiLevelType w:val="hybridMultilevel"/>
    <w:tmpl w:val="757A3474"/>
    <w:lvl w:ilvl="0" w:tplc="AF3C3A2E">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nsid w:val="379A4513"/>
    <w:multiLevelType w:val="hybridMultilevel"/>
    <w:tmpl w:val="BEC2CA98"/>
    <w:lvl w:ilvl="0" w:tplc="4FD6388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62412CA"/>
    <w:multiLevelType w:val="hybridMultilevel"/>
    <w:tmpl w:val="1A6634FE"/>
    <w:lvl w:ilvl="0" w:tplc="E7309CC4">
      <w:start w:val="1"/>
      <w:numFmt w:val="decimal"/>
      <w:lvlText w:val="%1."/>
      <w:lvlJc w:val="left"/>
      <w:pPr>
        <w:tabs>
          <w:tab w:val="num" w:pos="1440"/>
        </w:tabs>
        <w:ind w:left="1440" w:hanging="720"/>
      </w:pPr>
      <w:rPr>
        <w:rFonts w:hint="default"/>
      </w:rPr>
    </w:lvl>
    <w:lvl w:ilvl="1" w:tplc="AE3A8ED0" w:tentative="1">
      <w:start w:val="1"/>
      <w:numFmt w:val="lowerLetter"/>
      <w:lvlText w:val="%2."/>
      <w:lvlJc w:val="left"/>
      <w:pPr>
        <w:tabs>
          <w:tab w:val="num" w:pos="1800"/>
        </w:tabs>
        <w:ind w:left="1800" w:hanging="360"/>
      </w:pPr>
    </w:lvl>
    <w:lvl w:ilvl="2" w:tplc="2FA434F4" w:tentative="1">
      <w:start w:val="1"/>
      <w:numFmt w:val="lowerRoman"/>
      <w:lvlText w:val="%3."/>
      <w:lvlJc w:val="right"/>
      <w:pPr>
        <w:tabs>
          <w:tab w:val="num" w:pos="2520"/>
        </w:tabs>
        <w:ind w:left="2520" w:hanging="180"/>
      </w:pPr>
    </w:lvl>
    <w:lvl w:ilvl="3" w:tplc="00B6A518" w:tentative="1">
      <w:start w:val="1"/>
      <w:numFmt w:val="decimal"/>
      <w:lvlText w:val="%4."/>
      <w:lvlJc w:val="left"/>
      <w:pPr>
        <w:tabs>
          <w:tab w:val="num" w:pos="3240"/>
        </w:tabs>
        <w:ind w:left="3240" w:hanging="360"/>
      </w:pPr>
    </w:lvl>
    <w:lvl w:ilvl="4" w:tplc="0054E9B4" w:tentative="1">
      <w:start w:val="1"/>
      <w:numFmt w:val="lowerLetter"/>
      <w:lvlText w:val="%5."/>
      <w:lvlJc w:val="left"/>
      <w:pPr>
        <w:tabs>
          <w:tab w:val="num" w:pos="3960"/>
        </w:tabs>
        <w:ind w:left="3960" w:hanging="360"/>
      </w:pPr>
    </w:lvl>
    <w:lvl w:ilvl="5" w:tplc="3230DE36" w:tentative="1">
      <w:start w:val="1"/>
      <w:numFmt w:val="lowerRoman"/>
      <w:lvlText w:val="%6."/>
      <w:lvlJc w:val="right"/>
      <w:pPr>
        <w:tabs>
          <w:tab w:val="num" w:pos="4680"/>
        </w:tabs>
        <w:ind w:left="4680" w:hanging="180"/>
      </w:pPr>
    </w:lvl>
    <w:lvl w:ilvl="6" w:tplc="6D167844" w:tentative="1">
      <w:start w:val="1"/>
      <w:numFmt w:val="decimal"/>
      <w:lvlText w:val="%7."/>
      <w:lvlJc w:val="left"/>
      <w:pPr>
        <w:tabs>
          <w:tab w:val="num" w:pos="5400"/>
        </w:tabs>
        <w:ind w:left="5400" w:hanging="360"/>
      </w:pPr>
    </w:lvl>
    <w:lvl w:ilvl="7" w:tplc="4FB65B26" w:tentative="1">
      <w:start w:val="1"/>
      <w:numFmt w:val="lowerLetter"/>
      <w:lvlText w:val="%8."/>
      <w:lvlJc w:val="left"/>
      <w:pPr>
        <w:tabs>
          <w:tab w:val="num" w:pos="6120"/>
        </w:tabs>
        <w:ind w:left="6120" w:hanging="360"/>
      </w:pPr>
    </w:lvl>
    <w:lvl w:ilvl="8" w:tplc="3782DD42" w:tentative="1">
      <w:start w:val="1"/>
      <w:numFmt w:val="lowerRoman"/>
      <w:lvlText w:val="%9."/>
      <w:lvlJc w:val="right"/>
      <w:pPr>
        <w:tabs>
          <w:tab w:val="num" w:pos="6840"/>
        </w:tabs>
        <w:ind w:left="6840" w:hanging="180"/>
      </w:pPr>
    </w:lvl>
  </w:abstractNum>
  <w:abstractNum w:abstractNumId="7">
    <w:nsid w:val="5100430D"/>
    <w:multiLevelType w:val="hybridMultilevel"/>
    <w:tmpl w:val="EC0C0588"/>
    <w:lvl w:ilvl="0" w:tplc="E07C8D7A">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5710EB4"/>
    <w:multiLevelType w:val="hybridMultilevel"/>
    <w:tmpl w:val="CE6A4750"/>
    <w:lvl w:ilvl="0" w:tplc="0409000F">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43474F"/>
    <w:multiLevelType w:val="hybridMultilevel"/>
    <w:tmpl w:val="9ABCBFF0"/>
    <w:lvl w:ilvl="0" w:tplc="1ED08062">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E8658A8"/>
    <w:multiLevelType w:val="hybridMultilevel"/>
    <w:tmpl w:val="B4AA65A2"/>
    <w:lvl w:ilvl="0" w:tplc="6C4C40A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EBB3959"/>
    <w:multiLevelType w:val="hybridMultilevel"/>
    <w:tmpl w:val="C076F94E"/>
    <w:lvl w:ilvl="0" w:tplc="13A0588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F067C0C"/>
    <w:multiLevelType w:val="hybridMultilevel"/>
    <w:tmpl w:val="92DA4934"/>
    <w:lvl w:ilvl="0" w:tplc="9CF4D9C4">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3792974"/>
    <w:multiLevelType w:val="hybridMultilevel"/>
    <w:tmpl w:val="CAC68F90"/>
    <w:lvl w:ilvl="0" w:tplc="0409000F">
      <w:start w:val="1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3EB5021"/>
    <w:multiLevelType w:val="hybridMultilevel"/>
    <w:tmpl w:val="DCC2A218"/>
    <w:lvl w:ilvl="0" w:tplc="F632787C">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6C35A40"/>
    <w:multiLevelType w:val="hybridMultilevel"/>
    <w:tmpl w:val="CF2682DC"/>
    <w:lvl w:ilvl="0" w:tplc="0B622286">
      <w:start w:val="1"/>
      <w:numFmt w:val="decimal"/>
      <w:pStyle w:val="ParaNum"/>
      <w:lvlText w:val="%1."/>
      <w:lvlJc w:val="left"/>
      <w:pPr>
        <w:tabs>
          <w:tab w:val="num" w:pos="2520"/>
        </w:tabs>
        <w:ind w:left="1440" w:firstLine="720"/>
      </w:pPr>
      <w:rPr>
        <w:rFonts w:hint="default"/>
      </w:rPr>
    </w:lvl>
    <w:lvl w:ilvl="1" w:tplc="04090019">
      <w:start w:val="1"/>
      <w:numFmt w:val="decimal"/>
      <w:lvlText w:val="%2."/>
      <w:lvlJc w:val="left"/>
      <w:pPr>
        <w:tabs>
          <w:tab w:val="num" w:pos="2160"/>
        </w:tabs>
        <w:ind w:left="1080" w:firstLine="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77320669"/>
    <w:multiLevelType w:val="hybridMultilevel"/>
    <w:tmpl w:val="712AC832"/>
    <w:lvl w:ilvl="0" w:tplc="719AC180">
      <w:start w:val="4"/>
      <w:numFmt w:val="decimal"/>
      <w:lvlText w:val="%1."/>
      <w:lvlJc w:val="left"/>
      <w:pPr>
        <w:tabs>
          <w:tab w:val="num" w:pos="1080"/>
        </w:tabs>
        <w:ind w:left="1080" w:hanging="720"/>
      </w:pPr>
      <w:rPr>
        <w:rFonts w:hint="default"/>
      </w:rPr>
    </w:lvl>
    <w:lvl w:ilvl="1" w:tplc="719AC180"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A6B217E"/>
    <w:multiLevelType w:val="multilevel"/>
    <w:tmpl w:val="403E0898"/>
    <w:lvl w:ilvl="0">
      <w:start w:val="1"/>
      <w:numFmt w:val="decimal"/>
      <w:lvlText w:val="%1."/>
      <w:lvlJc w:val="left"/>
      <w:pPr>
        <w:tabs>
          <w:tab w:val="num" w:pos="2520"/>
        </w:tabs>
        <w:ind w:left="1440" w:firstLine="72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num w:numId="1">
    <w:abstractNumId w:val="11"/>
  </w:num>
  <w:num w:numId="2">
    <w:abstractNumId w:val="10"/>
  </w:num>
  <w:num w:numId="3">
    <w:abstractNumId w:val="3"/>
  </w:num>
  <w:num w:numId="4">
    <w:abstractNumId w:val="6"/>
  </w:num>
  <w:num w:numId="5">
    <w:abstractNumId w:val="2"/>
  </w:num>
  <w:num w:numId="6">
    <w:abstractNumId w:val="1"/>
  </w:num>
  <w:num w:numId="7">
    <w:abstractNumId w:val="8"/>
  </w:num>
  <w:num w:numId="8">
    <w:abstractNumId w:val="16"/>
  </w:num>
  <w:num w:numId="9">
    <w:abstractNumId w:val="9"/>
  </w:num>
  <w:num w:numId="10">
    <w:abstractNumId w:val="12"/>
  </w:num>
  <w:num w:numId="11">
    <w:abstractNumId w:val="5"/>
  </w:num>
  <w:num w:numId="12">
    <w:abstractNumId w:val="7"/>
  </w:num>
  <w:num w:numId="13">
    <w:abstractNumId w:val="4"/>
  </w:num>
  <w:num w:numId="14">
    <w:abstractNumId w:val="14"/>
  </w:num>
  <w:num w:numId="15">
    <w:abstractNumId w:val="13"/>
  </w:num>
  <w:num w:numId="16">
    <w:abstractNumId w:val="15"/>
  </w:num>
  <w:num w:numId="17">
    <w:abstractNumId w:val="17"/>
  </w:num>
  <w:num w:numId="18">
    <w:abstractNumId w:val="15"/>
    <w:lvlOverride w:ilvl="0">
      <w:startOverride w:val="1"/>
    </w:lvlOverride>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C17"/>
    <w:rsid w:val="000040A8"/>
    <w:rsid w:val="0001220B"/>
    <w:rsid w:val="00024615"/>
    <w:rsid w:val="00057AEC"/>
    <w:rsid w:val="0006034C"/>
    <w:rsid w:val="00071DCC"/>
    <w:rsid w:val="00072982"/>
    <w:rsid w:val="00090D51"/>
    <w:rsid w:val="000920FE"/>
    <w:rsid w:val="000A00A5"/>
    <w:rsid w:val="000B76B2"/>
    <w:rsid w:val="000D65FE"/>
    <w:rsid w:val="000E573A"/>
    <w:rsid w:val="00103220"/>
    <w:rsid w:val="00114017"/>
    <w:rsid w:val="00120F67"/>
    <w:rsid w:val="001341AD"/>
    <w:rsid w:val="001435DA"/>
    <w:rsid w:val="00145862"/>
    <w:rsid w:val="00146148"/>
    <w:rsid w:val="001532D7"/>
    <w:rsid w:val="001706FF"/>
    <w:rsid w:val="001B31FE"/>
    <w:rsid w:val="001B4E1C"/>
    <w:rsid w:val="001C28EC"/>
    <w:rsid w:val="001E1CA5"/>
    <w:rsid w:val="001E3317"/>
    <w:rsid w:val="001F74F2"/>
    <w:rsid w:val="00201E37"/>
    <w:rsid w:val="00204E3A"/>
    <w:rsid w:val="002068B9"/>
    <w:rsid w:val="00206E95"/>
    <w:rsid w:val="00207054"/>
    <w:rsid w:val="002266EE"/>
    <w:rsid w:val="002322B9"/>
    <w:rsid w:val="002322BA"/>
    <w:rsid w:val="00234362"/>
    <w:rsid w:val="002350AC"/>
    <w:rsid w:val="00236366"/>
    <w:rsid w:val="00243563"/>
    <w:rsid w:val="00252411"/>
    <w:rsid w:val="00263085"/>
    <w:rsid w:val="002716A0"/>
    <w:rsid w:val="00274992"/>
    <w:rsid w:val="0028130D"/>
    <w:rsid w:val="00293E89"/>
    <w:rsid w:val="002969A7"/>
    <w:rsid w:val="002A2BF2"/>
    <w:rsid w:val="002B49FF"/>
    <w:rsid w:val="002B534F"/>
    <w:rsid w:val="002D0204"/>
    <w:rsid w:val="002E3A3B"/>
    <w:rsid w:val="002F32BE"/>
    <w:rsid w:val="002F650E"/>
    <w:rsid w:val="00302020"/>
    <w:rsid w:val="003048A3"/>
    <w:rsid w:val="003109F4"/>
    <w:rsid w:val="003207F6"/>
    <w:rsid w:val="003245DC"/>
    <w:rsid w:val="00333981"/>
    <w:rsid w:val="00333F3A"/>
    <w:rsid w:val="00336FC7"/>
    <w:rsid w:val="0034121E"/>
    <w:rsid w:val="00353656"/>
    <w:rsid w:val="003663A7"/>
    <w:rsid w:val="00372335"/>
    <w:rsid w:val="0038020E"/>
    <w:rsid w:val="00382111"/>
    <w:rsid w:val="00387A2B"/>
    <w:rsid w:val="00391E4E"/>
    <w:rsid w:val="00393A70"/>
    <w:rsid w:val="00393FDD"/>
    <w:rsid w:val="003A3A3B"/>
    <w:rsid w:val="003D0529"/>
    <w:rsid w:val="003D53A0"/>
    <w:rsid w:val="003D7D26"/>
    <w:rsid w:val="003E2F30"/>
    <w:rsid w:val="00406513"/>
    <w:rsid w:val="004168CD"/>
    <w:rsid w:val="00416CD4"/>
    <w:rsid w:val="00420C4F"/>
    <w:rsid w:val="00421CFB"/>
    <w:rsid w:val="00421D3C"/>
    <w:rsid w:val="00431208"/>
    <w:rsid w:val="00436B3E"/>
    <w:rsid w:val="004524C8"/>
    <w:rsid w:val="004837DE"/>
    <w:rsid w:val="004B0A98"/>
    <w:rsid w:val="004D70D6"/>
    <w:rsid w:val="004E4420"/>
    <w:rsid w:val="004E554E"/>
    <w:rsid w:val="004F54D8"/>
    <w:rsid w:val="00504063"/>
    <w:rsid w:val="005102AB"/>
    <w:rsid w:val="0051617C"/>
    <w:rsid w:val="0052499F"/>
    <w:rsid w:val="00533374"/>
    <w:rsid w:val="00535E63"/>
    <w:rsid w:val="00547131"/>
    <w:rsid w:val="005505E2"/>
    <w:rsid w:val="00551D53"/>
    <w:rsid w:val="005531FA"/>
    <w:rsid w:val="00555A85"/>
    <w:rsid w:val="00556C93"/>
    <w:rsid w:val="005778D6"/>
    <w:rsid w:val="0058137C"/>
    <w:rsid w:val="00591A1A"/>
    <w:rsid w:val="005B1539"/>
    <w:rsid w:val="005B22B2"/>
    <w:rsid w:val="005B2566"/>
    <w:rsid w:val="005B5282"/>
    <w:rsid w:val="005C67DE"/>
    <w:rsid w:val="005E09C8"/>
    <w:rsid w:val="00607FAD"/>
    <w:rsid w:val="00630E4F"/>
    <w:rsid w:val="00642C4B"/>
    <w:rsid w:val="00652F9D"/>
    <w:rsid w:val="00653DBB"/>
    <w:rsid w:val="006563F7"/>
    <w:rsid w:val="00656A50"/>
    <w:rsid w:val="00671FC4"/>
    <w:rsid w:val="00673B31"/>
    <w:rsid w:val="00673BF4"/>
    <w:rsid w:val="00682963"/>
    <w:rsid w:val="00684024"/>
    <w:rsid w:val="00684F1A"/>
    <w:rsid w:val="0069143A"/>
    <w:rsid w:val="006917E9"/>
    <w:rsid w:val="006A7403"/>
    <w:rsid w:val="006B2CEE"/>
    <w:rsid w:val="006B549B"/>
    <w:rsid w:val="006B77D7"/>
    <w:rsid w:val="006C6EB1"/>
    <w:rsid w:val="006E751B"/>
    <w:rsid w:val="006E77AD"/>
    <w:rsid w:val="007359AD"/>
    <w:rsid w:val="0074173A"/>
    <w:rsid w:val="007435A4"/>
    <w:rsid w:val="007466BC"/>
    <w:rsid w:val="00764C14"/>
    <w:rsid w:val="00777451"/>
    <w:rsid w:val="007A064A"/>
    <w:rsid w:val="007A551D"/>
    <w:rsid w:val="007C154D"/>
    <w:rsid w:val="007D40CD"/>
    <w:rsid w:val="007D601E"/>
    <w:rsid w:val="0080367B"/>
    <w:rsid w:val="00805704"/>
    <w:rsid w:val="0082341B"/>
    <w:rsid w:val="00830381"/>
    <w:rsid w:val="00831CE6"/>
    <w:rsid w:val="008357E1"/>
    <w:rsid w:val="00835836"/>
    <w:rsid w:val="00835866"/>
    <w:rsid w:val="00841956"/>
    <w:rsid w:val="0084273A"/>
    <w:rsid w:val="00847903"/>
    <w:rsid w:val="0085071B"/>
    <w:rsid w:val="0085492B"/>
    <w:rsid w:val="00855801"/>
    <w:rsid w:val="008579FF"/>
    <w:rsid w:val="00876920"/>
    <w:rsid w:val="008A0231"/>
    <w:rsid w:val="008A5726"/>
    <w:rsid w:val="008B21AA"/>
    <w:rsid w:val="008D25D6"/>
    <w:rsid w:val="008D5C58"/>
    <w:rsid w:val="008D5CAB"/>
    <w:rsid w:val="008E105F"/>
    <w:rsid w:val="008F0726"/>
    <w:rsid w:val="008F3059"/>
    <w:rsid w:val="008F64CF"/>
    <w:rsid w:val="00900E82"/>
    <w:rsid w:val="00907140"/>
    <w:rsid w:val="00907595"/>
    <w:rsid w:val="009145F9"/>
    <w:rsid w:val="0091599C"/>
    <w:rsid w:val="00922E21"/>
    <w:rsid w:val="00930F79"/>
    <w:rsid w:val="009938E3"/>
    <w:rsid w:val="009B3C42"/>
    <w:rsid w:val="009B78D6"/>
    <w:rsid w:val="009D1F12"/>
    <w:rsid w:val="009D70DE"/>
    <w:rsid w:val="00A028D0"/>
    <w:rsid w:val="00A27370"/>
    <w:rsid w:val="00A36938"/>
    <w:rsid w:val="00A379DD"/>
    <w:rsid w:val="00A37A89"/>
    <w:rsid w:val="00A81D62"/>
    <w:rsid w:val="00AA5EC3"/>
    <w:rsid w:val="00AB329B"/>
    <w:rsid w:val="00AD56FB"/>
    <w:rsid w:val="00AD750E"/>
    <w:rsid w:val="00AE316E"/>
    <w:rsid w:val="00AE46DB"/>
    <w:rsid w:val="00AE6106"/>
    <w:rsid w:val="00AE74D5"/>
    <w:rsid w:val="00B03512"/>
    <w:rsid w:val="00B12FAE"/>
    <w:rsid w:val="00B15B63"/>
    <w:rsid w:val="00B3145F"/>
    <w:rsid w:val="00B31D92"/>
    <w:rsid w:val="00B40B05"/>
    <w:rsid w:val="00B53EF7"/>
    <w:rsid w:val="00B55A9B"/>
    <w:rsid w:val="00B61D45"/>
    <w:rsid w:val="00B63767"/>
    <w:rsid w:val="00B637AE"/>
    <w:rsid w:val="00B65D48"/>
    <w:rsid w:val="00B81D62"/>
    <w:rsid w:val="00B87710"/>
    <w:rsid w:val="00B93D85"/>
    <w:rsid w:val="00BA61C6"/>
    <w:rsid w:val="00BD1FF0"/>
    <w:rsid w:val="00BD4408"/>
    <w:rsid w:val="00BD7282"/>
    <w:rsid w:val="00BE0C6F"/>
    <w:rsid w:val="00BE1456"/>
    <w:rsid w:val="00BE6975"/>
    <w:rsid w:val="00C0405C"/>
    <w:rsid w:val="00C15EF5"/>
    <w:rsid w:val="00C3666E"/>
    <w:rsid w:val="00C40FBF"/>
    <w:rsid w:val="00C553CA"/>
    <w:rsid w:val="00C561D5"/>
    <w:rsid w:val="00C61FC8"/>
    <w:rsid w:val="00C63073"/>
    <w:rsid w:val="00C72542"/>
    <w:rsid w:val="00C81B6B"/>
    <w:rsid w:val="00C8350B"/>
    <w:rsid w:val="00C90007"/>
    <w:rsid w:val="00C93825"/>
    <w:rsid w:val="00C9500B"/>
    <w:rsid w:val="00CA3D39"/>
    <w:rsid w:val="00CB0280"/>
    <w:rsid w:val="00CB2F37"/>
    <w:rsid w:val="00CC2B2A"/>
    <w:rsid w:val="00CD1A7A"/>
    <w:rsid w:val="00CE4594"/>
    <w:rsid w:val="00CE5AAC"/>
    <w:rsid w:val="00CF44B1"/>
    <w:rsid w:val="00D03C17"/>
    <w:rsid w:val="00D2052C"/>
    <w:rsid w:val="00D20DA9"/>
    <w:rsid w:val="00D3215B"/>
    <w:rsid w:val="00D36273"/>
    <w:rsid w:val="00D37F59"/>
    <w:rsid w:val="00D4557E"/>
    <w:rsid w:val="00D5248E"/>
    <w:rsid w:val="00D71FF6"/>
    <w:rsid w:val="00D763AC"/>
    <w:rsid w:val="00D76437"/>
    <w:rsid w:val="00D87263"/>
    <w:rsid w:val="00DA5889"/>
    <w:rsid w:val="00DB34F0"/>
    <w:rsid w:val="00DB706F"/>
    <w:rsid w:val="00DB7942"/>
    <w:rsid w:val="00DD13E3"/>
    <w:rsid w:val="00DD4EC4"/>
    <w:rsid w:val="00DD5D96"/>
    <w:rsid w:val="00DD6B07"/>
    <w:rsid w:val="00DD6B61"/>
    <w:rsid w:val="00E0398A"/>
    <w:rsid w:val="00E21F8F"/>
    <w:rsid w:val="00E30510"/>
    <w:rsid w:val="00E33B05"/>
    <w:rsid w:val="00E36659"/>
    <w:rsid w:val="00E469E8"/>
    <w:rsid w:val="00E477BA"/>
    <w:rsid w:val="00E55556"/>
    <w:rsid w:val="00E5632F"/>
    <w:rsid w:val="00E56852"/>
    <w:rsid w:val="00E644F3"/>
    <w:rsid w:val="00E67B33"/>
    <w:rsid w:val="00E71011"/>
    <w:rsid w:val="00E72288"/>
    <w:rsid w:val="00E72964"/>
    <w:rsid w:val="00E744C5"/>
    <w:rsid w:val="00E76389"/>
    <w:rsid w:val="00E817BE"/>
    <w:rsid w:val="00E817E2"/>
    <w:rsid w:val="00E836E3"/>
    <w:rsid w:val="00E84160"/>
    <w:rsid w:val="00E95E23"/>
    <w:rsid w:val="00E96E91"/>
    <w:rsid w:val="00E96F2E"/>
    <w:rsid w:val="00EA1208"/>
    <w:rsid w:val="00EA71B5"/>
    <w:rsid w:val="00EB7A91"/>
    <w:rsid w:val="00EC0617"/>
    <w:rsid w:val="00EC5D8B"/>
    <w:rsid w:val="00ED36FF"/>
    <w:rsid w:val="00EE6DFE"/>
    <w:rsid w:val="00EF09C4"/>
    <w:rsid w:val="00EF0E49"/>
    <w:rsid w:val="00EF34F1"/>
    <w:rsid w:val="00EF3E06"/>
    <w:rsid w:val="00F01944"/>
    <w:rsid w:val="00F02FD7"/>
    <w:rsid w:val="00F03BF5"/>
    <w:rsid w:val="00F06C26"/>
    <w:rsid w:val="00F4120A"/>
    <w:rsid w:val="00F425E8"/>
    <w:rsid w:val="00F4561A"/>
    <w:rsid w:val="00F51966"/>
    <w:rsid w:val="00F624AB"/>
    <w:rsid w:val="00F62C76"/>
    <w:rsid w:val="00F71239"/>
    <w:rsid w:val="00F77535"/>
    <w:rsid w:val="00F8010A"/>
    <w:rsid w:val="00F83B9E"/>
    <w:rsid w:val="00F911AE"/>
    <w:rsid w:val="00F93B36"/>
    <w:rsid w:val="00F97F82"/>
    <w:rsid w:val="00FA7F42"/>
    <w:rsid w:val="00FC5EB0"/>
    <w:rsid w:val="00FD0349"/>
    <w:rsid w:val="00FD5453"/>
    <w:rsid w:val="00FE06FE"/>
    <w:rsid w:val="00FE335E"/>
    <w:rsid w:val="00FF064B"/>
    <w:rsid w:val="00FF3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1 Char2 Char,Footnote Text Char1 Char Char Char Char,Footnote Text Char Char Char1 Char,Footnote Text Char1 Char1 Char Char,Footnote Text Char2 Char Char,Footnote Text Char"/>
    <w:basedOn w:val="Normal"/>
    <w:semiHidden/>
    <w:rPr>
      <w:sz w:val="20"/>
      <w:szCs w:val="20"/>
    </w:rPr>
  </w:style>
  <w:style w:type="character" w:styleId="FootnoteReference">
    <w:name w:val="footnote reference"/>
    <w:aliases w:val="Appel note de bas de p"/>
    <w:semiHidden/>
    <w:rPr>
      <w:vertAlign w:val="superscript"/>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araNum">
    <w:name w:val="ParaNum"/>
    <w:basedOn w:val="Normal"/>
    <w:pPr>
      <w:numPr>
        <w:numId w:val="16"/>
      </w:numPr>
    </w:pPr>
  </w:style>
  <w:style w:type="character" w:customStyle="1" w:styleId="Heading1Char">
    <w:name w:val="Heading 1 Char"/>
    <w:link w:val="Heading1"/>
    <w:rPr>
      <w:rFonts w:ascii="Arial" w:hAnsi="Arial" w:cs="Arial"/>
      <w:b/>
      <w:bCs/>
      <w:kern w:val="32"/>
      <w:sz w:val="32"/>
      <w:szCs w:val="32"/>
      <w:lang w:val="en-US" w:eastAsia="en-US" w:bidi="ar-SA"/>
    </w:rPr>
  </w:style>
  <w:style w:type="character" w:customStyle="1" w:styleId="documentbody1">
    <w:name w:val="documentbody1"/>
    <w:rPr>
      <w:rFonts w:ascii="Verdana" w:hAnsi="Verdana" w:hint="default"/>
      <w:sz w:val="19"/>
      <w:szCs w:val="19"/>
      <w:shd w:val="clear" w:color="auto" w:fill="FFFFFF"/>
    </w:rPr>
  </w:style>
  <w:style w:type="paragraph" w:styleId="BodyText">
    <w:name w:val="Body Text"/>
    <w:basedOn w:val="Normal"/>
    <w:pPr>
      <w:spacing w:after="120"/>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customStyle="1" w:styleId="ParaNumChar">
    <w:name w:val="ParaNum Char"/>
    <w:basedOn w:val="Normal"/>
    <w:pPr>
      <w:widowControl w:val="0"/>
      <w:tabs>
        <w:tab w:val="num" w:pos="990"/>
        <w:tab w:val="left" w:pos="1440"/>
      </w:tabs>
      <w:spacing w:after="220"/>
      <w:ind w:left="-450" w:firstLine="1440"/>
      <w:jc w:val="both"/>
    </w:pPr>
    <w:rPr>
      <w:sz w:val="22"/>
      <w:szCs w:val="20"/>
    </w:rPr>
  </w:style>
  <w:style w:type="paragraph" w:styleId="NormalWeb">
    <w:name w:val="Normal (Web)"/>
    <w:basedOn w:val="Normal"/>
    <w:uiPriority w:val="99"/>
    <w:unhideWhenUsed/>
    <w:rsid w:val="00A27370"/>
    <w:pPr>
      <w:spacing w:before="100" w:beforeAutospacing="1" w:after="100" w:afterAutospacing="1"/>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1 Char2 Char,Footnote Text Char1 Char Char Char Char,Footnote Text Char Char Char1 Char,Footnote Text Char1 Char1 Char Char,Footnote Text Char2 Char Char,Footnote Text Char"/>
    <w:basedOn w:val="Normal"/>
    <w:semiHidden/>
    <w:rPr>
      <w:sz w:val="20"/>
      <w:szCs w:val="20"/>
    </w:rPr>
  </w:style>
  <w:style w:type="character" w:styleId="FootnoteReference">
    <w:name w:val="footnote reference"/>
    <w:aliases w:val="Appel note de bas de p"/>
    <w:semiHidden/>
    <w:rPr>
      <w:vertAlign w:val="superscript"/>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araNum">
    <w:name w:val="ParaNum"/>
    <w:basedOn w:val="Normal"/>
    <w:pPr>
      <w:numPr>
        <w:numId w:val="16"/>
      </w:numPr>
    </w:pPr>
  </w:style>
  <w:style w:type="character" w:customStyle="1" w:styleId="Heading1Char">
    <w:name w:val="Heading 1 Char"/>
    <w:link w:val="Heading1"/>
    <w:rPr>
      <w:rFonts w:ascii="Arial" w:hAnsi="Arial" w:cs="Arial"/>
      <w:b/>
      <w:bCs/>
      <w:kern w:val="32"/>
      <w:sz w:val="32"/>
      <w:szCs w:val="32"/>
      <w:lang w:val="en-US" w:eastAsia="en-US" w:bidi="ar-SA"/>
    </w:rPr>
  </w:style>
  <w:style w:type="character" w:customStyle="1" w:styleId="documentbody1">
    <w:name w:val="documentbody1"/>
    <w:rPr>
      <w:rFonts w:ascii="Verdana" w:hAnsi="Verdana" w:hint="default"/>
      <w:sz w:val="19"/>
      <w:szCs w:val="19"/>
      <w:shd w:val="clear" w:color="auto" w:fill="FFFFFF"/>
    </w:rPr>
  </w:style>
  <w:style w:type="paragraph" w:styleId="BodyText">
    <w:name w:val="Body Text"/>
    <w:basedOn w:val="Normal"/>
    <w:pPr>
      <w:spacing w:after="120"/>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customStyle="1" w:styleId="ParaNumChar">
    <w:name w:val="ParaNum Char"/>
    <w:basedOn w:val="Normal"/>
    <w:pPr>
      <w:widowControl w:val="0"/>
      <w:tabs>
        <w:tab w:val="num" w:pos="990"/>
        <w:tab w:val="left" w:pos="1440"/>
      </w:tabs>
      <w:spacing w:after="220"/>
      <w:ind w:left="-450" w:firstLine="1440"/>
      <w:jc w:val="both"/>
    </w:pPr>
    <w:rPr>
      <w:sz w:val="22"/>
      <w:szCs w:val="20"/>
    </w:rPr>
  </w:style>
  <w:style w:type="paragraph" w:styleId="NormalWeb">
    <w:name w:val="Normal (Web)"/>
    <w:basedOn w:val="Normal"/>
    <w:uiPriority w:val="99"/>
    <w:unhideWhenUsed/>
    <w:rsid w:val="00A27370"/>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00035">
      <w:bodyDiv w:val="1"/>
      <w:marLeft w:val="0"/>
      <w:marRight w:val="0"/>
      <w:marTop w:val="0"/>
      <w:marBottom w:val="0"/>
      <w:divBdr>
        <w:top w:val="none" w:sz="0" w:space="0" w:color="auto"/>
        <w:left w:val="none" w:sz="0" w:space="0" w:color="auto"/>
        <w:bottom w:val="none" w:sz="0" w:space="0" w:color="auto"/>
        <w:right w:val="none" w:sz="0" w:space="0" w:color="auto"/>
      </w:divBdr>
      <w:divsChild>
        <w:div w:id="1263105299">
          <w:marLeft w:val="0"/>
          <w:marRight w:val="0"/>
          <w:marTop w:val="0"/>
          <w:marBottom w:val="0"/>
          <w:divBdr>
            <w:top w:val="none" w:sz="0" w:space="0" w:color="auto"/>
            <w:left w:val="none" w:sz="0" w:space="0" w:color="auto"/>
            <w:bottom w:val="none" w:sz="0" w:space="0" w:color="auto"/>
            <w:right w:val="none" w:sz="0" w:space="0" w:color="auto"/>
          </w:divBdr>
        </w:div>
      </w:divsChild>
    </w:div>
    <w:div w:id="162407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2635</Words>
  <Characters>14099</Characters>
  <Application>Microsoft Office Word</Application>
  <DocSecurity>0</DocSecurity>
  <Lines>213</Lines>
  <Paragraphs>44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16777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2008-07-09T22:02:00Z</cp:lastPrinted>
  <dcterms:created xsi:type="dcterms:W3CDTF">2013-11-08T16:17:00Z</dcterms:created>
  <dcterms:modified xsi:type="dcterms:W3CDTF">2013-11-08T16:17:00Z</dcterms:modified>
  <cp:category> </cp:category>
  <cp:contentStatus> </cp:contentStatus>
</cp:coreProperties>
</file>