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F0CA4" w14:textId="6B5DB11C" w:rsidR="007340FD" w:rsidRDefault="007340FD" w:rsidP="009B6681">
      <w:pPr>
        <w:pStyle w:val="Heading1"/>
        <w:rPr>
          <w:szCs w:val="22"/>
        </w:rPr>
      </w:pPr>
      <w:bookmarkStart w:id="0" w:name="_GoBack"/>
      <w:bookmarkEnd w:id="0"/>
      <w:r>
        <w:rPr>
          <w:szCs w:val="22"/>
        </w:rPr>
        <w:t>Before the</w:t>
      </w:r>
    </w:p>
    <w:p w14:paraId="5D549A5C" w14:textId="77777777" w:rsidR="007340FD" w:rsidRDefault="007340FD" w:rsidP="007340FD">
      <w:pPr>
        <w:pStyle w:val="Heading1"/>
        <w:rPr>
          <w:szCs w:val="22"/>
        </w:rPr>
      </w:pPr>
      <w:r>
        <w:rPr>
          <w:szCs w:val="22"/>
        </w:rPr>
        <w:t>Federal Communications Commission</w:t>
      </w:r>
    </w:p>
    <w:p w14:paraId="11B2B0C3" w14:textId="77777777" w:rsidR="007340FD" w:rsidRDefault="007340FD" w:rsidP="007340FD">
      <w:pPr>
        <w:pStyle w:val="Heading1"/>
        <w:rPr>
          <w:szCs w:val="22"/>
        </w:rPr>
      </w:pPr>
      <w:r>
        <w:rPr>
          <w:szCs w:val="22"/>
        </w:rPr>
        <w:t>Washington, D.C. 20554</w:t>
      </w:r>
    </w:p>
    <w:p w14:paraId="0F33ED8D" w14:textId="77777777" w:rsidR="007340FD" w:rsidRDefault="007340FD" w:rsidP="007340FD">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104"/>
        <w:gridCol w:w="995"/>
        <w:gridCol w:w="3757"/>
      </w:tblGrid>
      <w:tr w:rsidR="007340FD" w14:paraId="3C16678C" w14:textId="77777777" w:rsidTr="00AE0307">
        <w:tc>
          <w:tcPr>
            <w:tcW w:w="4104" w:type="dxa"/>
          </w:tcPr>
          <w:p w14:paraId="562D035A" w14:textId="77777777" w:rsidR="007340FD" w:rsidRDefault="007340FD" w:rsidP="00AE0307">
            <w:pPr>
              <w:rPr>
                <w:sz w:val="22"/>
              </w:rPr>
            </w:pPr>
            <w:r>
              <w:rPr>
                <w:sz w:val="22"/>
              </w:rPr>
              <w:t>In the Matter of</w:t>
            </w:r>
          </w:p>
          <w:p w14:paraId="17E67854" w14:textId="77777777" w:rsidR="007340FD" w:rsidRDefault="007340FD" w:rsidP="00AE0307">
            <w:pPr>
              <w:rPr>
                <w:sz w:val="22"/>
              </w:rPr>
            </w:pPr>
          </w:p>
          <w:p w14:paraId="7FA2DFD1" w14:textId="77777777" w:rsidR="007340FD" w:rsidRDefault="007340FD" w:rsidP="00AE0307">
            <w:pPr>
              <w:keepNext/>
              <w:rPr>
                <w:sz w:val="22"/>
                <w:szCs w:val="22"/>
              </w:rPr>
            </w:pPr>
            <w:r>
              <w:rPr>
                <w:b/>
                <w:sz w:val="22"/>
                <w:szCs w:val="22"/>
              </w:rPr>
              <w:t>MMK LICENSE LLC</w:t>
            </w:r>
          </w:p>
          <w:p w14:paraId="267142B3" w14:textId="77777777" w:rsidR="007340FD" w:rsidRDefault="007340FD" w:rsidP="00AE0307">
            <w:pPr>
              <w:keepNext/>
              <w:rPr>
                <w:sz w:val="22"/>
                <w:szCs w:val="22"/>
              </w:rPr>
            </w:pPr>
          </w:p>
          <w:p w14:paraId="6218848C" w14:textId="77777777" w:rsidR="007340FD" w:rsidRDefault="007340FD" w:rsidP="00AE0307">
            <w:pPr>
              <w:keepNext/>
              <w:rPr>
                <w:sz w:val="22"/>
                <w:szCs w:val="22"/>
              </w:rPr>
            </w:pPr>
            <w:r>
              <w:rPr>
                <w:sz w:val="22"/>
                <w:szCs w:val="22"/>
              </w:rPr>
              <w:t xml:space="preserve">Licensee of Station WNKY(DT), </w:t>
            </w:r>
          </w:p>
          <w:p w14:paraId="61A1DF8D" w14:textId="77777777" w:rsidR="007340FD" w:rsidRDefault="007340FD" w:rsidP="00AE0307">
            <w:pPr>
              <w:keepNext/>
              <w:rPr>
                <w:sz w:val="22"/>
              </w:rPr>
            </w:pPr>
            <w:r>
              <w:rPr>
                <w:sz w:val="22"/>
                <w:szCs w:val="22"/>
              </w:rPr>
              <w:t>Bowling Green, Kentucky</w:t>
            </w:r>
          </w:p>
          <w:p w14:paraId="1A0A0542" w14:textId="77777777" w:rsidR="007340FD" w:rsidRDefault="007340FD" w:rsidP="00AE0307">
            <w:pPr>
              <w:rPr>
                <w:sz w:val="22"/>
              </w:rPr>
            </w:pPr>
          </w:p>
        </w:tc>
        <w:tc>
          <w:tcPr>
            <w:tcW w:w="995" w:type="dxa"/>
          </w:tcPr>
          <w:p w14:paraId="0D787113" w14:textId="77777777" w:rsidR="007340FD" w:rsidRDefault="007340FD" w:rsidP="00AE0307">
            <w:pPr>
              <w:jc w:val="center"/>
              <w:rPr>
                <w:rFonts w:ascii="Times New Roman Bold" w:hAnsi="Times New Roman Bold"/>
                <w:sz w:val="22"/>
              </w:rPr>
            </w:pPr>
            <w:r>
              <w:rPr>
                <w:rFonts w:ascii="Times New Roman Bold" w:hAnsi="Times New Roman Bold"/>
                <w:sz w:val="22"/>
              </w:rPr>
              <w:t>)</w:t>
            </w:r>
          </w:p>
          <w:p w14:paraId="60968CF0" w14:textId="77777777" w:rsidR="007340FD" w:rsidRDefault="007340FD" w:rsidP="00AE0307">
            <w:pPr>
              <w:jc w:val="center"/>
              <w:rPr>
                <w:rFonts w:ascii="Times New Roman Bold" w:hAnsi="Times New Roman Bold"/>
                <w:sz w:val="22"/>
              </w:rPr>
            </w:pPr>
            <w:r>
              <w:rPr>
                <w:rFonts w:ascii="Times New Roman Bold" w:hAnsi="Times New Roman Bold"/>
                <w:sz w:val="22"/>
              </w:rPr>
              <w:t>)</w:t>
            </w:r>
          </w:p>
          <w:p w14:paraId="0AA9C562" w14:textId="77777777" w:rsidR="007340FD" w:rsidRDefault="007340FD" w:rsidP="00AE0307">
            <w:pPr>
              <w:jc w:val="center"/>
              <w:rPr>
                <w:rFonts w:ascii="Times New Roman Bold" w:hAnsi="Times New Roman Bold"/>
                <w:sz w:val="22"/>
              </w:rPr>
            </w:pPr>
            <w:r>
              <w:rPr>
                <w:rFonts w:ascii="Times New Roman Bold" w:hAnsi="Times New Roman Bold"/>
                <w:sz w:val="22"/>
              </w:rPr>
              <w:t>)</w:t>
            </w:r>
          </w:p>
          <w:p w14:paraId="2E05ED2F" w14:textId="77777777" w:rsidR="007340FD" w:rsidRDefault="007340FD" w:rsidP="00AE0307">
            <w:pPr>
              <w:jc w:val="center"/>
              <w:rPr>
                <w:rFonts w:ascii="Times New Roman Bold" w:hAnsi="Times New Roman Bold"/>
                <w:sz w:val="22"/>
              </w:rPr>
            </w:pPr>
            <w:r>
              <w:rPr>
                <w:rFonts w:ascii="Times New Roman Bold" w:hAnsi="Times New Roman Bold"/>
                <w:sz w:val="22"/>
              </w:rPr>
              <w:t>)</w:t>
            </w:r>
          </w:p>
          <w:p w14:paraId="346900D6" w14:textId="77777777" w:rsidR="007340FD" w:rsidRDefault="007340FD" w:rsidP="00AE0307">
            <w:pPr>
              <w:jc w:val="center"/>
              <w:rPr>
                <w:rFonts w:ascii="Times New Roman Bold" w:hAnsi="Times New Roman Bold"/>
                <w:sz w:val="22"/>
              </w:rPr>
            </w:pPr>
            <w:r>
              <w:rPr>
                <w:rFonts w:ascii="Times New Roman Bold" w:hAnsi="Times New Roman Bold"/>
                <w:sz w:val="22"/>
              </w:rPr>
              <w:t>)</w:t>
            </w:r>
          </w:p>
          <w:p w14:paraId="3B51E6A3" w14:textId="77777777" w:rsidR="007340FD" w:rsidRDefault="007340FD" w:rsidP="00AE0307">
            <w:pPr>
              <w:jc w:val="center"/>
              <w:rPr>
                <w:rFonts w:ascii="Times New Roman Bold" w:hAnsi="Times New Roman Bold"/>
                <w:sz w:val="22"/>
              </w:rPr>
            </w:pPr>
            <w:r>
              <w:rPr>
                <w:rFonts w:ascii="Times New Roman Bold" w:hAnsi="Times New Roman Bold"/>
                <w:sz w:val="22"/>
              </w:rPr>
              <w:t>)</w:t>
            </w:r>
          </w:p>
          <w:p w14:paraId="5009CD56" w14:textId="77777777" w:rsidR="007340FD" w:rsidRDefault="007340FD" w:rsidP="00AE0307">
            <w:pPr>
              <w:keepNext/>
              <w:jc w:val="center"/>
              <w:rPr>
                <w:rFonts w:ascii="Times New Roman Bold" w:hAnsi="Times New Roman Bold"/>
                <w:spacing w:val="-2"/>
                <w:sz w:val="22"/>
              </w:rPr>
            </w:pPr>
            <w:r>
              <w:rPr>
                <w:rFonts w:ascii="Times New Roman Bold" w:hAnsi="Times New Roman Bold"/>
                <w:spacing w:val="-2"/>
                <w:sz w:val="22"/>
              </w:rPr>
              <w:t>)</w:t>
            </w:r>
          </w:p>
          <w:p w14:paraId="23173915" w14:textId="77777777" w:rsidR="007340FD" w:rsidRDefault="007340FD" w:rsidP="00AE0307">
            <w:pPr>
              <w:keepNext/>
              <w:rPr>
                <w:rFonts w:ascii="Times New Roman Bold" w:hAnsi="Times New Roman Bold"/>
                <w:spacing w:val="-2"/>
                <w:sz w:val="22"/>
              </w:rPr>
            </w:pPr>
          </w:p>
        </w:tc>
        <w:tc>
          <w:tcPr>
            <w:tcW w:w="3757" w:type="dxa"/>
          </w:tcPr>
          <w:p w14:paraId="4CF59021" w14:textId="77777777" w:rsidR="007340FD" w:rsidRDefault="007340FD" w:rsidP="00AE0307">
            <w:pPr>
              <w:rPr>
                <w:spacing w:val="-2"/>
                <w:sz w:val="22"/>
              </w:rPr>
            </w:pPr>
          </w:p>
          <w:p w14:paraId="03A70FFE" w14:textId="77777777" w:rsidR="007340FD" w:rsidRDefault="007340FD" w:rsidP="00AE0307">
            <w:pPr>
              <w:rPr>
                <w:spacing w:val="-2"/>
                <w:sz w:val="22"/>
              </w:rPr>
            </w:pPr>
          </w:p>
          <w:p w14:paraId="3B1D3A1F" w14:textId="77777777" w:rsidR="007340FD" w:rsidRDefault="007340FD" w:rsidP="00AE0307">
            <w:pPr>
              <w:ind w:left="1021"/>
              <w:rPr>
                <w:spacing w:val="-2"/>
                <w:sz w:val="22"/>
                <w:szCs w:val="22"/>
              </w:rPr>
            </w:pPr>
            <w:r>
              <w:rPr>
                <w:spacing w:val="-2"/>
                <w:sz w:val="22"/>
                <w:szCs w:val="22"/>
              </w:rPr>
              <w:t>File No.:  EB-13-IH-0059</w:t>
            </w:r>
          </w:p>
          <w:p w14:paraId="6B4B8F9A" w14:textId="172AD708" w:rsidR="007340FD" w:rsidRPr="00A15981" w:rsidRDefault="007340FD" w:rsidP="00AE0307">
            <w:pPr>
              <w:ind w:left="1021"/>
              <w:rPr>
                <w:spacing w:val="-2"/>
                <w:sz w:val="22"/>
                <w:szCs w:val="22"/>
              </w:rPr>
            </w:pPr>
            <w:r w:rsidRPr="00A15981">
              <w:rPr>
                <w:spacing w:val="-2"/>
                <w:sz w:val="22"/>
                <w:szCs w:val="22"/>
              </w:rPr>
              <w:t xml:space="preserve">Acct. No.:  </w:t>
            </w:r>
            <w:r w:rsidR="001F474E">
              <w:rPr>
                <w:bCs/>
                <w:color w:val="000000" w:themeColor="text1"/>
                <w:sz w:val="22"/>
                <w:szCs w:val="22"/>
              </w:rPr>
              <w:t>2014320800</w:t>
            </w:r>
            <w:r w:rsidR="00A0475F">
              <w:rPr>
                <w:bCs/>
                <w:color w:val="000000" w:themeColor="text1"/>
                <w:sz w:val="22"/>
                <w:szCs w:val="22"/>
              </w:rPr>
              <w:t>10</w:t>
            </w:r>
          </w:p>
          <w:p w14:paraId="4CD0E6B4" w14:textId="0118E002" w:rsidR="007340FD" w:rsidRPr="00A15981" w:rsidRDefault="007340FD" w:rsidP="00AE0307">
            <w:pPr>
              <w:ind w:left="1021"/>
              <w:rPr>
                <w:sz w:val="22"/>
                <w:szCs w:val="22"/>
              </w:rPr>
            </w:pPr>
            <w:r w:rsidRPr="00A15981">
              <w:rPr>
                <w:sz w:val="22"/>
                <w:szCs w:val="22"/>
              </w:rPr>
              <w:t>FRN</w:t>
            </w:r>
            <w:r w:rsidRPr="00AA6C6B">
              <w:rPr>
                <w:sz w:val="22"/>
                <w:szCs w:val="22"/>
              </w:rPr>
              <w:t>:  0008572927</w:t>
            </w:r>
          </w:p>
          <w:p w14:paraId="052F667B" w14:textId="38B74BD8" w:rsidR="007340FD" w:rsidRDefault="007340FD" w:rsidP="00AE0307">
            <w:pPr>
              <w:ind w:left="1021"/>
              <w:rPr>
                <w:sz w:val="22"/>
                <w:szCs w:val="22"/>
                <w:lang w:val="es-ES"/>
              </w:rPr>
            </w:pPr>
            <w:r w:rsidRPr="00A15981">
              <w:rPr>
                <w:sz w:val="22"/>
                <w:szCs w:val="22"/>
                <w:lang w:val="es-ES"/>
              </w:rPr>
              <w:t>Facility ID No</w:t>
            </w:r>
            <w:r w:rsidRPr="00AA6C6B">
              <w:rPr>
                <w:sz w:val="22"/>
                <w:szCs w:val="22"/>
                <w:lang w:val="es-ES"/>
              </w:rPr>
              <w:t xml:space="preserve">.: </w:t>
            </w:r>
            <w:r w:rsidR="003D6292" w:rsidRPr="00AA6C6B">
              <w:rPr>
                <w:sz w:val="22"/>
                <w:szCs w:val="22"/>
                <w:lang w:val="es-ES"/>
              </w:rPr>
              <w:t xml:space="preserve"> </w:t>
            </w:r>
            <w:r w:rsidRPr="00AA6C6B">
              <w:rPr>
                <w:sz w:val="22"/>
                <w:szCs w:val="22"/>
                <w:lang w:val="es-ES"/>
              </w:rPr>
              <w:t>61217</w:t>
            </w:r>
          </w:p>
          <w:p w14:paraId="067B1D0E" w14:textId="77777777" w:rsidR="007340FD" w:rsidRDefault="007340FD" w:rsidP="00AE0307">
            <w:pPr>
              <w:tabs>
                <w:tab w:val="center" w:pos="4680"/>
              </w:tabs>
              <w:suppressAutoHyphens/>
            </w:pPr>
          </w:p>
        </w:tc>
      </w:tr>
    </w:tbl>
    <w:p w14:paraId="08FC50B3" w14:textId="77777777" w:rsidR="007340FD" w:rsidRDefault="007340FD" w:rsidP="0076725C">
      <w:pPr>
        <w:pStyle w:val="Heading1"/>
        <w:rPr>
          <w:szCs w:val="22"/>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14:paraId="52B09813" w14:textId="77777777" w:rsidR="007340FD" w:rsidRDefault="007340FD" w:rsidP="007340FD">
      <w:pPr>
        <w:tabs>
          <w:tab w:val="left" w:pos="-720"/>
        </w:tabs>
        <w:suppressAutoHyphens/>
        <w:spacing w:line="227" w:lineRule="auto"/>
        <w:jc w:val="both"/>
        <w:rPr>
          <w:spacing w:val="-2"/>
          <w:sz w:val="22"/>
          <w:szCs w:val="22"/>
        </w:rPr>
      </w:pPr>
    </w:p>
    <w:p w14:paraId="5BC701D1" w14:textId="0E19AEA7" w:rsidR="007340FD" w:rsidRDefault="007340FD" w:rsidP="007340FD">
      <w:pPr>
        <w:tabs>
          <w:tab w:val="left" w:pos="720"/>
          <w:tab w:val="left" w:pos="5400"/>
        </w:tabs>
        <w:suppressAutoHyphens/>
        <w:spacing w:line="227" w:lineRule="auto"/>
        <w:rPr>
          <w:b/>
          <w:spacing w:val="-2"/>
          <w:sz w:val="22"/>
          <w:szCs w:val="22"/>
        </w:rPr>
      </w:pPr>
      <w:r>
        <w:rPr>
          <w:b/>
          <w:spacing w:val="-2"/>
          <w:sz w:val="22"/>
          <w:szCs w:val="22"/>
        </w:rPr>
        <w:t xml:space="preserve">Adopted: </w:t>
      </w:r>
      <w:r w:rsidR="001F474E">
        <w:rPr>
          <w:b/>
          <w:spacing w:val="-2"/>
          <w:sz w:val="22"/>
          <w:szCs w:val="22"/>
        </w:rPr>
        <w:t xml:space="preserve">November </w:t>
      </w:r>
      <w:r w:rsidR="00A0475F">
        <w:rPr>
          <w:b/>
          <w:spacing w:val="-2"/>
          <w:sz w:val="22"/>
          <w:szCs w:val="22"/>
        </w:rPr>
        <w:t>5</w:t>
      </w:r>
      <w:r>
        <w:rPr>
          <w:b/>
          <w:spacing w:val="-2"/>
          <w:sz w:val="22"/>
          <w:szCs w:val="22"/>
        </w:rPr>
        <w:t>, 2013</w:t>
      </w:r>
      <w:r>
        <w:rPr>
          <w:b/>
          <w:spacing w:val="-2"/>
          <w:sz w:val="22"/>
          <w:szCs w:val="22"/>
        </w:rPr>
        <w:tab/>
        <w:t xml:space="preserve">              Released: </w:t>
      </w:r>
      <w:r w:rsidR="00A0475F">
        <w:rPr>
          <w:b/>
          <w:spacing w:val="-2"/>
          <w:sz w:val="22"/>
          <w:szCs w:val="22"/>
        </w:rPr>
        <w:t>November 5</w:t>
      </w:r>
      <w:r>
        <w:rPr>
          <w:b/>
          <w:spacing w:val="-2"/>
          <w:sz w:val="22"/>
          <w:szCs w:val="22"/>
        </w:rPr>
        <w:t>, 2013</w:t>
      </w:r>
    </w:p>
    <w:p w14:paraId="7C9DA4DC" w14:textId="77777777" w:rsidR="007340FD" w:rsidRDefault="007340FD" w:rsidP="007340FD">
      <w:pPr>
        <w:jc w:val="both"/>
        <w:rPr>
          <w:sz w:val="22"/>
          <w:szCs w:val="22"/>
        </w:rPr>
      </w:pPr>
    </w:p>
    <w:p w14:paraId="46CA8861" w14:textId="77777777" w:rsidR="007340FD" w:rsidRDefault="007340FD" w:rsidP="007340FD">
      <w:pPr>
        <w:jc w:val="both"/>
        <w:rPr>
          <w:sz w:val="22"/>
          <w:szCs w:val="22"/>
        </w:rPr>
      </w:pPr>
      <w:r>
        <w:rPr>
          <w:sz w:val="22"/>
          <w:szCs w:val="22"/>
        </w:rPr>
        <w:t xml:space="preserve">By the </w:t>
      </w:r>
      <w:r w:rsidR="006254B2">
        <w:rPr>
          <w:sz w:val="22"/>
          <w:szCs w:val="22"/>
        </w:rPr>
        <w:t xml:space="preserve">Acting </w:t>
      </w:r>
      <w:r>
        <w:rPr>
          <w:sz w:val="22"/>
          <w:szCs w:val="22"/>
        </w:rPr>
        <w:t xml:space="preserve">Chief, Enforcement Bureau: </w:t>
      </w:r>
    </w:p>
    <w:p w14:paraId="62DEBFD6" w14:textId="77777777" w:rsidR="007340FD" w:rsidRDefault="007340FD" w:rsidP="007340FD">
      <w:pPr>
        <w:jc w:val="both"/>
        <w:rPr>
          <w:sz w:val="22"/>
          <w:szCs w:val="22"/>
        </w:rPr>
      </w:pPr>
    </w:p>
    <w:p w14:paraId="16726357" w14:textId="7382EB47" w:rsidR="007340FD" w:rsidRDefault="00F97CF3" w:rsidP="007340FD">
      <w:pPr>
        <w:pStyle w:val="Paranum0"/>
        <w:tabs>
          <w:tab w:val="clear" w:pos="1080"/>
          <w:tab w:val="num" w:pos="1440"/>
        </w:tabs>
        <w:spacing w:after="120"/>
        <w:jc w:val="left"/>
        <w:rPr>
          <w:szCs w:val="22"/>
        </w:rPr>
      </w:pPr>
      <w:r>
        <w:rPr>
          <w:szCs w:val="22"/>
        </w:rPr>
        <w:t>1.</w:t>
      </w:r>
      <w:r>
        <w:rPr>
          <w:szCs w:val="22"/>
        </w:rPr>
        <w:tab/>
      </w:r>
      <w:r w:rsidR="007340FD">
        <w:rPr>
          <w:szCs w:val="22"/>
        </w:rPr>
        <w:t xml:space="preserve">In this Order, we adopt the attached Consent Decree entered into between the Enforcement Bureau (Bureau) and MMK License LLC (Licensee).  The Consent Decree resolves and terminates the Bureau’s investigation into the Licensee’s possible violations of </w:t>
      </w:r>
      <w:r w:rsidR="009D5621" w:rsidRPr="00B845BA">
        <w:rPr>
          <w:szCs w:val="22"/>
        </w:rPr>
        <w:t>Section 325(a) of the Communications Act of 1934, as amended,</w:t>
      </w:r>
      <w:r w:rsidR="009D5621" w:rsidRPr="00B845BA">
        <w:rPr>
          <w:rStyle w:val="FootnoteReference"/>
          <w:sz w:val="22"/>
          <w:szCs w:val="22"/>
        </w:rPr>
        <w:footnoteReference w:id="2"/>
      </w:r>
      <w:r w:rsidR="009B6681">
        <w:rPr>
          <w:szCs w:val="22"/>
        </w:rPr>
        <w:t xml:space="preserve"> </w:t>
      </w:r>
      <w:r w:rsidR="009D5621">
        <w:rPr>
          <w:szCs w:val="22"/>
        </w:rPr>
        <w:t xml:space="preserve">and </w:t>
      </w:r>
      <w:r w:rsidR="007340FD">
        <w:rPr>
          <w:szCs w:val="22"/>
        </w:rPr>
        <w:t>Section 11.45 of the Commission’s rules (Rules),</w:t>
      </w:r>
      <w:r w:rsidR="007340FD">
        <w:rPr>
          <w:rStyle w:val="FootnoteReference"/>
        </w:rPr>
        <w:footnoteReference w:id="3"/>
      </w:r>
      <w:r w:rsidR="007340FD">
        <w:rPr>
          <w:szCs w:val="22"/>
        </w:rPr>
        <w:t xml:space="preserve"> in connection with the broadcast on Station WNKY(DT), Bowling Green, Kentucky (Station) of a commercial </w:t>
      </w:r>
      <w:r w:rsidR="00DD3B86">
        <w:rPr>
          <w:szCs w:val="22"/>
        </w:rPr>
        <w:t>that contained</w:t>
      </w:r>
      <w:r w:rsidR="007340FD">
        <w:rPr>
          <w:szCs w:val="22"/>
        </w:rPr>
        <w:t xml:space="preserve"> a simulat</w:t>
      </w:r>
      <w:r w:rsidR="00DD3B86">
        <w:rPr>
          <w:szCs w:val="22"/>
        </w:rPr>
        <w:t>ed</w:t>
      </w:r>
      <w:r w:rsidR="007340FD">
        <w:rPr>
          <w:szCs w:val="22"/>
        </w:rPr>
        <w:t xml:space="preserve"> Emergency Alert System (EAS) </w:t>
      </w:r>
      <w:r w:rsidR="007340FD" w:rsidRPr="00A15981">
        <w:rPr>
          <w:szCs w:val="22"/>
        </w:rPr>
        <w:t>Attention S</w:t>
      </w:r>
      <w:r w:rsidR="007340FD">
        <w:rPr>
          <w:szCs w:val="22"/>
        </w:rPr>
        <w:t>ignal, absent an actual emergency or authorized EAS test</w:t>
      </w:r>
      <w:r w:rsidR="007340FD">
        <w:t>.</w:t>
      </w:r>
      <w:r w:rsidR="007340FD">
        <w:rPr>
          <w:szCs w:val="22"/>
        </w:rPr>
        <w:t xml:space="preserve">  </w:t>
      </w:r>
    </w:p>
    <w:p w14:paraId="3D59B7FA" w14:textId="0088EA20" w:rsidR="007340FD" w:rsidRDefault="00F97CF3" w:rsidP="007340FD">
      <w:pPr>
        <w:pStyle w:val="Paranum0"/>
        <w:tabs>
          <w:tab w:val="clear" w:pos="1080"/>
          <w:tab w:val="num" w:pos="1440"/>
        </w:tabs>
        <w:spacing w:after="120"/>
        <w:jc w:val="left"/>
        <w:rPr>
          <w:szCs w:val="22"/>
        </w:rPr>
      </w:pPr>
      <w:r>
        <w:rPr>
          <w:szCs w:val="22"/>
        </w:rPr>
        <w:t>2.</w:t>
      </w:r>
      <w:r>
        <w:rPr>
          <w:szCs w:val="22"/>
        </w:rPr>
        <w:tab/>
      </w:r>
      <w:r w:rsidR="007340FD">
        <w:rPr>
          <w:szCs w:val="22"/>
        </w:rPr>
        <w:t>The Bureau and the Licensee have negotiated the terms of the Consent Decree that resolve</w:t>
      </w:r>
      <w:r w:rsidR="009B6681">
        <w:rPr>
          <w:szCs w:val="22"/>
        </w:rPr>
        <w:t>s</w:t>
      </w:r>
      <w:r w:rsidR="007340FD">
        <w:rPr>
          <w:szCs w:val="22"/>
        </w:rPr>
        <w:t xml:space="preserve"> this matter, including a detailed, three-year compliance plan requirement.  A copy of the Consent Decree is attached hereto and incorporated by reference.  </w:t>
      </w:r>
    </w:p>
    <w:p w14:paraId="35F3D494" w14:textId="75161DF3" w:rsidR="007340FD" w:rsidRDefault="00F97CF3" w:rsidP="007340FD">
      <w:pPr>
        <w:pStyle w:val="Paranum0"/>
        <w:tabs>
          <w:tab w:val="clear" w:pos="1080"/>
        </w:tabs>
        <w:spacing w:after="120"/>
        <w:jc w:val="left"/>
        <w:rPr>
          <w:szCs w:val="22"/>
        </w:rPr>
      </w:pPr>
      <w:r>
        <w:rPr>
          <w:szCs w:val="22"/>
        </w:rPr>
        <w:t>3.</w:t>
      </w:r>
      <w:r>
        <w:rPr>
          <w:szCs w:val="22"/>
        </w:rPr>
        <w:tab/>
      </w:r>
      <w:r w:rsidR="007340FD">
        <w:rPr>
          <w:szCs w:val="22"/>
        </w:rPr>
        <w:t>After reviewing the terms of the Consent Decree and evaluating the facts before us, we find that the public interest would be served by adopting the Consent Decree and terminating the investigation.</w:t>
      </w:r>
    </w:p>
    <w:p w14:paraId="662EF4AD" w14:textId="6C87F5E0" w:rsidR="007340FD" w:rsidRDefault="00F97CF3" w:rsidP="007340FD">
      <w:pPr>
        <w:pStyle w:val="Paranum0"/>
        <w:tabs>
          <w:tab w:val="clear" w:pos="1080"/>
        </w:tabs>
        <w:spacing w:after="120"/>
        <w:jc w:val="left"/>
        <w:rPr>
          <w:szCs w:val="22"/>
        </w:rPr>
      </w:pPr>
      <w:r>
        <w:rPr>
          <w:szCs w:val="22"/>
        </w:rPr>
        <w:t>4.</w:t>
      </w:r>
      <w:r>
        <w:rPr>
          <w:szCs w:val="22"/>
        </w:rPr>
        <w:tab/>
      </w:r>
      <w:r w:rsidR="007340FD">
        <w:rPr>
          <w:szCs w:val="22"/>
        </w:rPr>
        <w:t xml:space="preserve">In the absence of material new evidence relating to this matter, we conclude that our investigation raises no substantial or material questions of fact as to whether the Licensee possesses the basic qualifications, including those related to character, to hold or obtain any Commission license or authorization.    </w:t>
      </w:r>
    </w:p>
    <w:p w14:paraId="326D728E" w14:textId="36F0834B" w:rsidR="007340FD" w:rsidRDefault="00F97CF3" w:rsidP="007340FD">
      <w:pPr>
        <w:pStyle w:val="Paranum0"/>
        <w:tabs>
          <w:tab w:val="clear" w:pos="1080"/>
          <w:tab w:val="num" w:pos="1440"/>
        </w:tabs>
        <w:jc w:val="left"/>
        <w:rPr>
          <w:szCs w:val="22"/>
        </w:rPr>
      </w:pPr>
      <w:r>
        <w:rPr>
          <w:szCs w:val="22"/>
        </w:rPr>
        <w:t>5.</w:t>
      </w:r>
      <w:r>
        <w:rPr>
          <w:szCs w:val="22"/>
        </w:rPr>
        <w:tab/>
      </w:r>
      <w:r w:rsidR="007340FD">
        <w:rPr>
          <w:szCs w:val="22"/>
        </w:rPr>
        <w:t xml:space="preserve">Accordingly, </w:t>
      </w:r>
      <w:r w:rsidR="007340FD">
        <w:rPr>
          <w:b/>
          <w:szCs w:val="22"/>
        </w:rPr>
        <w:t>IT IS ORDERED</w:t>
      </w:r>
      <w:r w:rsidR="007340FD">
        <w:rPr>
          <w:szCs w:val="22"/>
        </w:rPr>
        <w:t xml:space="preserve"> that, pursuant to Sections</w:t>
      </w:r>
      <w:r w:rsidR="007340FD">
        <w:rPr>
          <w:b/>
          <w:szCs w:val="22"/>
        </w:rPr>
        <w:t xml:space="preserve"> </w:t>
      </w:r>
      <w:r w:rsidR="007340FD">
        <w:rPr>
          <w:szCs w:val="22"/>
        </w:rPr>
        <w:t>4(i), 4(j), and 503(b) of the Communications Act of 1934, as amended, and Sections 0.111 and 0.311 of the Rules,</w:t>
      </w:r>
      <w:r w:rsidR="007340FD">
        <w:rPr>
          <w:rStyle w:val="FootnoteReference"/>
          <w:sz w:val="22"/>
          <w:szCs w:val="22"/>
        </w:rPr>
        <w:footnoteReference w:id="4"/>
      </w:r>
      <w:r w:rsidR="007340FD">
        <w:rPr>
          <w:szCs w:val="22"/>
        </w:rPr>
        <w:t xml:space="preserve"> the Consent Decree attached to this Order </w:t>
      </w:r>
      <w:r w:rsidR="007340FD">
        <w:rPr>
          <w:b/>
          <w:szCs w:val="22"/>
        </w:rPr>
        <w:t>IS ADOPTED</w:t>
      </w:r>
      <w:r w:rsidR="007340FD">
        <w:rPr>
          <w:szCs w:val="22"/>
        </w:rPr>
        <w:t>.</w:t>
      </w:r>
    </w:p>
    <w:p w14:paraId="2BD08608" w14:textId="397125FD" w:rsidR="007340FD" w:rsidRDefault="00F97CF3" w:rsidP="007340FD">
      <w:pPr>
        <w:pStyle w:val="Paranum0"/>
        <w:tabs>
          <w:tab w:val="clear" w:pos="1080"/>
          <w:tab w:val="num" w:pos="1440"/>
        </w:tabs>
        <w:spacing w:after="120"/>
        <w:jc w:val="left"/>
        <w:rPr>
          <w:szCs w:val="22"/>
        </w:rPr>
      </w:pPr>
      <w:r>
        <w:rPr>
          <w:szCs w:val="22"/>
        </w:rPr>
        <w:t>6.</w:t>
      </w:r>
      <w:r>
        <w:rPr>
          <w:szCs w:val="22"/>
        </w:rPr>
        <w:tab/>
      </w:r>
      <w:r w:rsidR="007340FD">
        <w:rPr>
          <w:b/>
          <w:szCs w:val="22"/>
        </w:rPr>
        <w:t xml:space="preserve">IT IS FURTHER ORDERED </w:t>
      </w:r>
      <w:r w:rsidR="007340FD">
        <w:rPr>
          <w:szCs w:val="22"/>
        </w:rPr>
        <w:t>that the above-captioned investigation, as to the Station and/or the Licensee,</w:t>
      </w:r>
      <w:r w:rsidR="007340FD">
        <w:rPr>
          <w:b/>
          <w:szCs w:val="22"/>
        </w:rPr>
        <w:t xml:space="preserve"> IS TERMINATED</w:t>
      </w:r>
      <w:r w:rsidR="007340FD">
        <w:rPr>
          <w:szCs w:val="22"/>
        </w:rPr>
        <w:t>.</w:t>
      </w:r>
    </w:p>
    <w:p w14:paraId="79B2AF94" w14:textId="44CB23AA" w:rsidR="007340FD" w:rsidRDefault="00F97CF3" w:rsidP="007340FD">
      <w:pPr>
        <w:pStyle w:val="Paranum0"/>
        <w:tabs>
          <w:tab w:val="clear" w:pos="1080"/>
          <w:tab w:val="num" w:pos="1440"/>
        </w:tabs>
        <w:spacing w:after="120"/>
        <w:jc w:val="left"/>
        <w:rPr>
          <w:b/>
          <w:szCs w:val="22"/>
        </w:rPr>
      </w:pPr>
      <w:r>
        <w:rPr>
          <w:szCs w:val="22"/>
        </w:rPr>
        <w:lastRenderedPageBreak/>
        <w:t>7.</w:t>
      </w:r>
      <w:r>
        <w:rPr>
          <w:szCs w:val="22"/>
        </w:rPr>
        <w:tab/>
      </w:r>
      <w:r w:rsidR="007340FD">
        <w:rPr>
          <w:b/>
          <w:szCs w:val="22"/>
        </w:rPr>
        <w:t xml:space="preserve">IT IS FURTHER ORDERED </w:t>
      </w:r>
      <w:r w:rsidR="007340FD">
        <w:rPr>
          <w:szCs w:val="22"/>
        </w:rPr>
        <w:t>that any third-party complaints related to the above-captioned investigation</w:t>
      </w:r>
      <w:r w:rsidR="003D6292">
        <w:rPr>
          <w:szCs w:val="22"/>
        </w:rPr>
        <w:t xml:space="preserve"> </w:t>
      </w:r>
      <w:r w:rsidR="00F1776A">
        <w:rPr>
          <w:szCs w:val="22"/>
        </w:rPr>
        <w:t xml:space="preserve">and </w:t>
      </w:r>
      <w:r w:rsidR="00DD3B86">
        <w:rPr>
          <w:szCs w:val="22"/>
        </w:rPr>
        <w:t xml:space="preserve">that are </w:t>
      </w:r>
      <w:r w:rsidR="003D6292">
        <w:rPr>
          <w:szCs w:val="22"/>
        </w:rPr>
        <w:t xml:space="preserve">currently </w:t>
      </w:r>
      <w:r w:rsidR="003D6292" w:rsidRPr="003D6292">
        <w:rPr>
          <w:szCs w:val="22"/>
        </w:rPr>
        <w:t>pending before the Enforcement Bureau</w:t>
      </w:r>
      <w:r w:rsidR="007340FD">
        <w:rPr>
          <w:szCs w:val="22"/>
        </w:rPr>
        <w:t xml:space="preserve"> </w:t>
      </w:r>
      <w:r w:rsidR="003D6292" w:rsidRPr="00A15981">
        <w:rPr>
          <w:b/>
          <w:szCs w:val="22"/>
        </w:rPr>
        <w:t>ARE DISMISSED</w:t>
      </w:r>
      <w:r w:rsidR="003D6292">
        <w:rPr>
          <w:szCs w:val="22"/>
        </w:rPr>
        <w:t xml:space="preserve"> </w:t>
      </w:r>
      <w:r w:rsidR="007340FD">
        <w:rPr>
          <w:szCs w:val="22"/>
        </w:rPr>
        <w:t>as of the date of this Consent Decree.</w:t>
      </w:r>
    </w:p>
    <w:p w14:paraId="5706B654" w14:textId="402418E9" w:rsidR="007340FD" w:rsidRDefault="00F97CF3" w:rsidP="007340FD">
      <w:pPr>
        <w:pStyle w:val="Paranum0"/>
        <w:tabs>
          <w:tab w:val="clear" w:pos="1080"/>
          <w:tab w:val="num" w:pos="1440"/>
        </w:tabs>
        <w:jc w:val="left"/>
        <w:rPr>
          <w:szCs w:val="22"/>
        </w:rPr>
      </w:pPr>
      <w:r>
        <w:rPr>
          <w:szCs w:val="22"/>
        </w:rPr>
        <w:t>8.</w:t>
      </w:r>
      <w:r>
        <w:rPr>
          <w:szCs w:val="22"/>
        </w:rPr>
        <w:tab/>
      </w:r>
      <w:r w:rsidR="007340FD">
        <w:rPr>
          <w:b/>
          <w:szCs w:val="22"/>
        </w:rPr>
        <w:t xml:space="preserve">IT IS FURTHER ORDERED </w:t>
      </w:r>
      <w:r w:rsidR="007340FD">
        <w:rPr>
          <w:szCs w:val="22"/>
        </w:rPr>
        <w:t>that a copy of this Order and Consent Decree shall be sent by both First Class Mail and Certified Mail, Return Receipt Requested, to Licensee’s counsel, Erwin G. Krasnow, Esq., Garvey Schubert Barer, 1000 Potomac Street, N.W., Washington, D.C. 20007.</w:t>
      </w:r>
    </w:p>
    <w:p w14:paraId="378D8E35" w14:textId="77777777" w:rsidR="007340FD" w:rsidRDefault="007340FD" w:rsidP="007340FD">
      <w:pPr>
        <w:pStyle w:val="Paranum0"/>
        <w:tabs>
          <w:tab w:val="clear" w:pos="1080"/>
          <w:tab w:val="clear" w:pos="1440"/>
        </w:tabs>
        <w:ind w:firstLine="0"/>
        <w:jc w:val="left"/>
        <w:rPr>
          <w:szCs w:val="22"/>
        </w:rPr>
      </w:pPr>
    </w:p>
    <w:p w14:paraId="4C954AFD" w14:textId="77777777" w:rsidR="007340FD" w:rsidRDefault="007340FD" w:rsidP="007340FD">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14:paraId="166AAD8B" w14:textId="77777777" w:rsidR="007340FD" w:rsidRDefault="007340FD" w:rsidP="007340FD">
      <w:pPr>
        <w:tabs>
          <w:tab w:val="left" w:pos="0"/>
        </w:tabs>
        <w:suppressAutoHyphens/>
        <w:spacing w:line="240" w:lineRule="atLeast"/>
        <w:jc w:val="both"/>
        <w:rPr>
          <w:spacing w:val="-2"/>
          <w:sz w:val="22"/>
          <w:szCs w:val="22"/>
        </w:rPr>
      </w:pPr>
    </w:p>
    <w:p w14:paraId="15907AFA" w14:textId="77777777" w:rsidR="007340FD" w:rsidRDefault="007340FD" w:rsidP="007340FD">
      <w:pPr>
        <w:tabs>
          <w:tab w:val="left" w:pos="0"/>
        </w:tabs>
        <w:suppressAutoHyphens/>
        <w:spacing w:line="240" w:lineRule="atLeast"/>
        <w:jc w:val="both"/>
        <w:rPr>
          <w:spacing w:val="-2"/>
          <w:sz w:val="22"/>
          <w:szCs w:val="22"/>
        </w:rPr>
      </w:pPr>
    </w:p>
    <w:p w14:paraId="62CA7540" w14:textId="77777777" w:rsidR="007340FD" w:rsidRDefault="007340FD"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14:paraId="1C90B643" w14:textId="77777777" w:rsidR="009B6681" w:rsidRDefault="007340FD"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14:paraId="0C010D71" w14:textId="27F0BD15" w:rsidR="007340FD" w:rsidRDefault="009B6681"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7340FD">
        <w:rPr>
          <w:spacing w:val="-2"/>
          <w:sz w:val="22"/>
          <w:szCs w:val="22"/>
        </w:rPr>
        <w:t xml:space="preserve">Robert </w:t>
      </w:r>
      <w:r w:rsidR="006254B2">
        <w:rPr>
          <w:spacing w:val="-2"/>
          <w:sz w:val="22"/>
          <w:szCs w:val="22"/>
        </w:rPr>
        <w:t xml:space="preserve">H. </w:t>
      </w:r>
      <w:r w:rsidR="007340FD">
        <w:rPr>
          <w:spacing w:val="-2"/>
          <w:sz w:val="22"/>
          <w:szCs w:val="22"/>
        </w:rPr>
        <w:t>Ratcliffe</w:t>
      </w:r>
    </w:p>
    <w:p w14:paraId="1F6D5ED3" w14:textId="77777777" w:rsidR="007340FD" w:rsidRDefault="007340FD"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Acting Chief, Enforcement Bureau</w:t>
      </w:r>
    </w:p>
    <w:p w14:paraId="29D5B8EA" w14:textId="77777777" w:rsidR="0076725C" w:rsidRDefault="0076725C" w:rsidP="007340FD">
      <w:pPr>
        <w:tabs>
          <w:tab w:val="left" w:pos="0"/>
        </w:tabs>
        <w:suppressAutoHyphens/>
        <w:spacing w:line="240" w:lineRule="atLeast"/>
        <w:jc w:val="both"/>
        <w:rPr>
          <w:spacing w:val="-2"/>
          <w:sz w:val="22"/>
          <w:szCs w:val="22"/>
        </w:rPr>
        <w:sectPr w:rsidR="0076725C" w:rsidSect="009B668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006" w:right="1440" w:bottom="1440" w:left="1440" w:header="720" w:footer="720" w:gutter="0"/>
          <w:pgNumType w:start="1"/>
          <w:cols w:space="720"/>
          <w:titlePg/>
          <w:docGrid w:linePitch="360"/>
        </w:sectPr>
      </w:pPr>
    </w:p>
    <w:p w14:paraId="1F075767" w14:textId="775598D9" w:rsidR="0076725C" w:rsidRDefault="0076725C" w:rsidP="007340FD">
      <w:pPr>
        <w:tabs>
          <w:tab w:val="left" w:pos="0"/>
        </w:tabs>
        <w:suppressAutoHyphens/>
        <w:spacing w:line="240" w:lineRule="atLeast"/>
        <w:jc w:val="both"/>
        <w:rPr>
          <w:spacing w:val="-2"/>
          <w:sz w:val="22"/>
          <w:szCs w:val="22"/>
        </w:rPr>
      </w:pPr>
    </w:p>
    <w:p w14:paraId="486BA9B5" w14:textId="77777777" w:rsidR="009B6681" w:rsidRDefault="007340FD" w:rsidP="009B6681">
      <w:pPr>
        <w:pStyle w:val="Heading1"/>
        <w:rPr>
          <w:szCs w:val="22"/>
        </w:rPr>
      </w:pPr>
      <w:r>
        <w:br w:type="page"/>
      </w:r>
      <w:r w:rsidR="009B6681">
        <w:rPr>
          <w:szCs w:val="22"/>
        </w:rPr>
        <w:lastRenderedPageBreak/>
        <w:t>Before the</w:t>
      </w:r>
    </w:p>
    <w:p w14:paraId="655A66FC" w14:textId="77777777" w:rsidR="009B6681" w:rsidRDefault="009B6681" w:rsidP="009B6681">
      <w:pPr>
        <w:pStyle w:val="Heading1"/>
        <w:rPr>
          <w:szCs w:val="22"/>
        </w:rPr>
      </w:pPr>
      <w:r>
        <w:rPr>
          <w:szCs w:val="22"/>
        </w:rPr>
        <w:t>Federal Communications Commission</w:t>
      </w:r>
    </w:p>
    <w:p w14:paraId="582DB068" w14:textId="77777777" w:rsidR="009B6681" w:rsidRDefault="009B6681" w:rsidP="009B6681">
      <w:pPr>
        <w:pStyle w:val="Heading1"/>
        <w:rPr>
          <w:szCs w:val="22"/>
        </w:rPr>
      </w:pPr>
      <w:r>
        <w:rPr>
          <w:szCs w:val="22"/>
        </w:rPr>
        <w:t>Washington, D.C. 20554</w:t>
      </w:r>
    </w:p>
    <w:p w14:paraId="36062F05" w14:textId="4C8293C4" w:rsidR="00115BE4" w:rsidRPr="00B845BA" w:rsidRDefault="00115BE4" w:rsidP="009B6681">
      <w:pPr>
        <w:pStyle w:val="Heading1"/>
        <w:rPr>
          <w:szCs w:val="22"/>
        </w:rPr>
      </w:pPr>
    </w:p>
    <w:tbl>
      <w:tblPr>
        <w:tblW w:w="0" w:type="auto"/>
        <w:tblLook w:val="0000" w:firstRow="0" w:lastRow="0" w:firstColumn="0" w:lastColumn="0" w:noHBand="0" w:noVBand="0"/>
      </w:tblPr>
      <w:tblGrid>
        <w:gridCol w:w="4104"/>
        <w:gridCol w:w="995"/>
        <w:gridCol w:w="3649"/>
      </w:tblGrid>
      <w:tr w:rsidR="00115BE4" w:rsidRPr="00B845BA" w14:paraId="19AD45CE" w14:textId="77777777" w:rsidTr="000F162C">
        <w:tc>
          <w:tcPr>
            <w:tcW w:w="4104" w:type="dxa"/>
          </w:tcPr>
          <w:p w14:paraId="26469FEB" w14:textId="77777777" w:rsidR="00115BE4" w:rsidRPr="00051646" w:rsidRDefault="00115BE4" w:rsidP="000F162C">
            <w:pPr>
              <w:rPr>
                <w:sz w:val="22"/>
                <w:szCs w:val="22"/>
              </w:rPr>
            </w:pPr>
            <w:r w:rsidRPr="00051646">
              <w:rPr>
                <w:sz w:val="22"/>
                <w:szCs w:val="22"/>
              </w:rPr>
              <w:t>In the Matter of</w:t>
            </w:r>
          </w:p>
          <w:p w14:paraId="7E71D0AF" w14:textId="77777777" w:rsidR="00115BE4" w:rsidRPr="00B845BA" w:rsidRDefault="00115BE4" w:rsidP="000F162C">
            <w:pPr>
              <w:rPr>
                <w:sz w:val="22"/>
                <w:szCs w:val="22"/>
              </w:rPr>
            </w:pPr>
          </w:p>
          <w:p w14:paraId="6F5FD35D" w14:textId="77777777" w:rsidR="00115BE4" w:rsidRPr="00B845BA" w:rsidRDefault="00115BE4" w:rsidP="000F162C">
            <w:pPr>
              <w:keepNext/>
              <w:rPr>
                <w:sz w:val="22"/>
                <w:szCs w:val="22"/>
              </w:rPr>
            </w:pPr>
            <w:r w:rsidRPr="00B845BA">
              <w:rPr>
                <w:b/>
                <w:sz w:val="22"/>
                <w:szCs w:val="22"/>
              </w:rPr>
              <w:t>MMK LICENSE LLC</w:t>
            </w:r>
          </w:p>
          <w:p w14:paraId="4A3C987C" w14:textId="77777777" w:rsidR="00115BE4" w:rsidRPr="00B845BA" w:rsidRDefault="00115BE4" w:rsidP="000F162C">
            <w:pPr>
              <w:keepNext/>
              <w:rPr>
                <w:sz w:val="22"/>
                <w:szCs w:val="22"/>
              </w:rPr>
            </w:pPr>
          </w:p>
          <w:p w14:paraId="11B2B713" w14:textId="77777777" w:rsidR="00115BE4" w:rsidRPr="00B845BA" w:rsidRDefault="00115BE4" w:rsidP="000F162C">
            <w:pPr>
              <w:keepNext/>
              <w:rPr>
                <w:sz w:val="22"/>
                <w:szCs w:val="22"/>
              </w:rPr>
            </w:pPr>
            <w:r w:rsidRPr="00B845BA">
              <w:rPr>
                <w:sz w:val="22"/>
                <w:szCs w:val="22"/>
              </w:rPr>
              <w:t xml:space="preserve">Licensee of Station WNKY(DT), </w:t>
            </w:r>
          </w:p>
          <w:p w14:paraId="10260835" w14:textId="77777777" w:rsidR="00115BE4" w:rsidRPr="00B845BA" w:rsidRDefault="00115BE4" w:rsidP="000F162C">
            <w:pPr>
              <w:keepNext/>
              <w:rPr>
                <w:sz w:val="22"/>
                <w:szCs w:val="22"/>
              </w:rPr>
            </w:pPr>
            <w:r w:rsidRPr="00B845BA">
              <w:rPr>
                <w:sz w:val="22"/>
                <w:szCs w:val="22"/>
              </w:rPr>
              <w:t>Bowling Green, Kentucky</w:t>
            </w:r>
          </w:p>
          <w:p w14:paraId="1E15847D" w14:textId="77777777" w:rsidR="00115BE4" w:rsidRPr="00B845BA" w:rsidRDefault="00115BE4" w:rsidP="000F162C">
            <w:pPr>
              <w:rPr>
                <w:sz w:val="22"/>
                <w:szCs w:val="22"/>
              </w:rPr>
            </w:pPr>
          </w:p>
        </w:tc>
        <w:tc>
          <w:tcPr>
            <w:tcW w:w="995" w:type="dxa"/>
          </w:tcPr>
          <w:p w14:paraId="3A8881D5" w14:textId="77777777" w:rsidR="00115BE4" w:rsidRPr="00B845BA" w:rsidRDefault="00115BE4" w:rsidP="000F162C">
            <w:pPr>
              <w:jc w:val="center"/>
              <w:rPr>
                <w:sz w:val="22"/>
                <w:szCs w:val="22"/>
              </w:rPr>
            </w:pPr>
            <w:r w:rsidRPr="00B845BA">
              <w:rPr>
                <w:sz w:val="22"/>
                <w:szCs w:val="22"/>
              </w:rPr>
              <w:t>)</w:t>
            </w:r>
          </w:p>
          <w:p w14:paraId="21E99ABA" w14:textId="77777777" w:rsidR="00115BE4" w:rsidRPr="00B845BA" w:rsidRDefault="00115BE4" w:rsidP="000F162C">
            <w:pPr>
              <w:jc w:val="center"/>
              <w:rPr>
                <w:sz w:val="22"/>
                <w:szCs w:val="22"/>
              </w:rPr>
            </w:pPr>
            <w:r w:rsidRPr="00B845BA">
              <w:rPr>
                <w:sz w:val="22"/>
                <w:szCs w:val="22"/>
              </w:rPr>
              <w:t>)</w:t>
            </w:r>
          </w:p>
          <w:p w14:paraId="19E19CF3" w14:textId="77777777" w:rsidR="00115BE4" w:rsidRPr="00B845BA" w:rsidRDefault="00115BE4" w:rsidP="000F162C">
            <w:pPr>
              <w:jc w:val="center"/>
              <w:rPr>
                <w:sz w:val="22"/>
                <w:szCs w:val="22"/>
              </w:rPr>
            </w:pPr>
            <w:r w:rsidRPr="00B845BA">
              <w:rPr>
                <w:sz w:val="22"/>
                <w:szCs w:val="22"/>
              </w:rPr>
              <w:t>)</w:t>
            </w:r>
          </w:p>
          <w:p w14:paraId="7F4EE5C6" w14:textId="77777777" w:rsidR="00115BE4" w:rsidRPr="00B845BA" w:rsidRDefault="00115BE4" w:rsidP="000F162C">
            <w:pPr>
              <w:jc w:val="center"/>
              <w:rPr>
                <w:sz w:val="22"/>
                <w:szCs w:val="22"/>
              </w:rPr>
            </w:pPr>
            <w:r w:rsidRPr="00B845BA">
              <w:rPr>
                <w:sz w:val="22"/>
                <w:szCs w:val="22"/>
              </w:rPr>
              <w:t>)</w:t>
            </w:r>
          </w:p>
          <w:p w14:paraId="10D1D26C" w14:textId="77777777" w:rsidR="00115BE4" w:rsidRPr="00B845BA" w:rsidRDefault="00115BE4" w:rsidP="000F162C">
            <w:pPr>
              <w:jc w:val="center"/>
              <w:rPr>
                <w:sz w:val="22"/>
                <w:szCs w:val="22"/>
              </w:rPr>
            </w:pPr>
            <w:r w:rsidRPr="00B845BA">
              <w:rPr>
                <w:sz w:val="22"/>
                <w:szCs w:val="22"/>
              </w:rPr>
              <w:t>)</w:t>
            </w:r>
          </w:p>
          <w:p w14:paraId="5C822584" w14:textId="77777777" w:rsidR="00115BE4" w:rsidRPr="00B845BA" w:rsidRDefault="00115BE4" w:rsidP="000F162C">
            <w:pPr>
              <w:jc w:val="center"/>
              <w:rPr>
                <w:sz w:val="22"/>
                <w:szCs w:val="22"/>
              </w:rPr>
            </w:pPr>
            <w:r w:rsidRPr="00B845BA">
              <w:rPr>
                <w:sz w:val="22"/>
                <w:szCs w:val="22"/>
              </w:rPr>
              <w:t>)</w:t>
            </w:r>
          </w:p>
          <w:p w14:paraId="07E62035" w14:textId="77777777" w:rsidR="00115BE4" w:rsidRPr="00B845BA" w:rsidRDefault="00115BE4" w:rsidP="000F162C">
            <w:pPr>
              <w:keepNext/>
              <w:jc w:val="center"/>
              <w:rPr>
                <w:spacing w:val="-2"/>
                <w:sz w:val="22"/>
                <w:szCs w:val="22"/>
              </w:rPr>
            </w:pPr>
            <w:r w:rsidRPr="00B845BA">
              <w:rPr>
                <w:spacing w:val="-2"/>
                <w:sz w:val="22"/>
                <w:szCs w:val="22"/>
              </w:rPr>
              <w:t>)</w:t>
            </w:r>
          </w:p>
          <w:p w14:paraId="226E5045" w14:textId="77777777" w:rsidR="00115BE4" w:rsidRPr="00B845BA" w:rsidRDefault="00115BE4" w:rsidP="000F162C">
            <w:pPr>
              <w:keepNext/>
              <w:rPr>
                <w:spacing w:val="-2"/>
                <w:sz w:val="22"/>
                <w:szCs w:val="22"/>
              </w:rPr>
            </w:pPr>
          </w:p>
        </w:tc>
        <w:tc>
          <w:tcPr>
            <w:tcW w:w="3649" w:type="dxa"/>
          </w:tcPr>
          <w:p w14:paraId="7D0A37B0" w14:textId="77777777" w:rsidR="00115BE4" w:rsidRPr="00051646" w:rsidRDefault="00115BE4" w:rsidP="000F162C">
            <w:pPr>
              <w:rPr>
                <w:spacing w:val="-2"/>
                <w:sz w:val="22"/>
                <w:szCs w:val="22"/>
              </w:rPr>
            </w:pPr>
          </w:p>
          <w:p w14:paraId="0C0745DD" w14:textId="77777777" w:rsidR="00115BE4" w:rsidRPr="00B845BA" w:rsidRDefault="00115BE4" w:rsidP="000F162C">
            <w:pPr>
              <w:rPr>
                <w:spacing w:val="-2"/>
                <w:sz w:val="22"/>
                <w:szCs w:val="22"/>
              </w:rPr>
            </w:pPr>
          </w:p>
          <w:p w14:paraId="0E0FEA8F" w14:textId="77777777" w:rsidR="00115BE4" w:rsidRPr="00B845BA" w:rsidRDefault="00115BE4" w:rsidP="000F162C">
            <w:pPr>
              <w:ind w:left="1021"/>
              <w:rPr>
                <w:spacing w:val="-2"/>
                <w:sz w:val="22"/>
                <w:szCs w:val="22"/>
              </w:rPr>
            </w:pPr>
            <w:r w:rsidRPr="00B845BA">
              <w:rPr>
                <w:spacing w:val="-2"/>
                <w:sz w:val="22"/>
                <w:szCs w:val="22"/>
              </w:rPr>
              <w:t>File No.: EB-13-IH-0059</w:t>
            </w:r>
          </w:p>
          <w:p w14:paraId="13A61711" w14:textId="57D72C13" w:rsidR="00115BE4" w:rsidRPr="00B845BA" w:rsidRDefault="00115BE4" w:rsidP="000F162C">
            <w:pPr>
              <w:ind w:left="1021"/>
              <w:rPr>
                <w:spacing w:val="-2"/>
                <w:sz w:val="22"/>
                <w:szCs w:val="22"/>
              </w:rPr>
            </w:pPr>
            <w:r w:rsidRPr="00B845BA">
              <w:rPr>
                <w:spacing w:val="-2"/>
                <w:sz w:val="22"/>
                <w:szCs w:val="22"/>
              </w:rPr>
              <w:t xml:space="preserve">Acct. No.:  </w:t>
            </w:r>
            <w:r w:rsidR="0071525F">
              <w:rPr>
                <w:bCs/>
                <w:color w:val="000000" w:themeColor="text1"/>
                <w:sz w:val="22"/>
                <w:szCs w:val="22"/>
              </w:rPr>
              <w:t>201432080010</w:t>
            </w:r>
          </w:p>
          <w:p w14:paraId="65CF939B" w14:textId="77777777" w:rsidR="00115BE4" w:rsidRPr="00B845BA" w:rsidRDefault="00115BE4" w:rsidP="000F162C">
            <w:pPr>
              <w:ind w:left="1021"/>
              <w:rPr>
                <w:sz w:val="22"/>
                <w:szCs w:val="22"/>
              </w:rPr>
            </w:pPr>
            <w:r w:rsidRPr="00B845BA">
              <w:rPr>
                <w:sz w:val="22"/>
                <w:szCs w:val="22"/>
              </w:rPr>
              <w:t>FRN: 0008572927</w:t>
            </w:r>
          </w:p>
          <w:p w14:paraId="675E967F" w14:textId="77777777" w:rsidR="00115BE4" w:rsidRPr="00B845BA" w:rsidRDefault="00115BE4" w:rsidP="000F162C">
            <w:pPr>
              <w:ind w:left="1021"/>
              <w:rPr>
                <w:sz w:val="22"/>
                <w:szCs w:val="22"/>
              </w:rPr>
            </w:pPr>
            <w:r w:rsidRPr="00B845BA">
              <w:rPr>
                <w:sz w:val="22"/>
                <w:szCs w:val="22"/>
              </w:rPr>
              <w:t>Facility ID No.: 61217</w:t>
            </w:r>
          </w:p>
          <w:p w14:paraId="32C06346" w14:textId="77777777" w:rsidR="00115BE4" w:rsidRPr="00B845BA" w:rsidRDefault="00115BE4" w:rsidP="000F162C">
            <w:pPr>
              <w:tabs>
                <w:tab w:val="center" w:pos="4680"/>
              </w:tabs>
              <w:suppressAutoHyphens/>
              <w:rPr>
                <w:sz w:val="22"/>
                <w:szCs w:val="22"/>
              </w:rPr>
            </w:pPr>
          </w:p>
        </w:tc>
      </w:tr>
    </w:tbl>
    <w:p w14:paraId="275BAD5B" w14:textId="77777777" w:rsidR="00115BE4" w:rsidRPr="00B845BA" w:rsidRDefault="00115BE4" w:rsidP="00115BE4">
      <w:pPr>
        <w:keepNext/>
        <w:jc w:val="center"/>
        <w:rPr>
          <w:b/>
          <w:sz w:val="22"/>
          <w:szCs w:val="22"/>
        </w:rPr>
      </w:pPr>
    </w:p>
    <w:p w14:paraId="03163469" w14:textId="77777777" w:rsidR="00115BE4" w:rsidRPr="00B845BA" w:rsidRDefault="00115BE4" w:rsidP="00115BE4">
      <w:pPr>
        <w:keepNext/>
        <w:jc w:val="center"/>
        <w:rPr>
          <w:b/>
          <w:sz w:val="22"/>
          <w:szCs w:val="22"/>
        </w:rPr>
      </w:pPr>
      <w:r w:rsidRPr="00B845BA">
        <w:rPr>
          <w:b/>
          <w:sz w:val="22"/>
          <w:szCs w:val="22"/>
        </w:rPr>
        <w:t>CONSENT DECREE</w:t>
      </w:r>
    </w:p>
    <w:p w14:paraId="05E5440A" w14:textId="77777777" w:rsidR="00115BE4" w:rsidRPr="00B845BA" w:rsidRDefault="00115BE4" w:rsidP="00115BE4">
      <w:pPr>
        <w:keepNext/>
        <w:jc w:val="center"/>
        <w:rPr>
          <w:b/>
          <w:sz w:val="22"/>
          <w:szCs w:val="22"/>
        </w:rPr>
      </w:pPr>
    </w:p>
    <w:p w14:paraId="476FE756" w14:textId="77777777" w:rsidR="00115BE4" w:rsidRPr="00051646" w:rsidRDefault="00115BE4" w:rsidP="00115BE4">
      <w:pPr>
        <w:numPr>
          <w:ilvl w:val="0"/>
          <w:numId w:val="10"/>
        </w:numPr>
        <w:tabs>
          <w:tab w:val="left" w:pos="1440"/>
        </w:tabs>
        <w:ind w:left="0" w:firstLine="720"/>
        <w:rPr>
          <w:sz w:val="22"/>
          <w:szCs w:val="22"/>
        </w:rPr>
      </w:pPr>
      <w:r w:rsidRPr="00B845BA">
        <w:rPr>
          <w:sz w:val="22"/>
          <w:szCs w:val="22"/>
        </w:rPr>
        <w:t>The Enforcement Bureau (Bureau) of the Federal Communications Commission (Commission or FCC) and MMK License LLC (MMK), by their authorized representatives, hereby enter into this Consent Decree for the purpose of terminating the</w:t>
      </w:r>
      <w:r w:rsidRPr="00B845BA">
        <w:rPr>
          <w:b/>
          <w:sz w:val="22"/>
          <w:szCs w:val="22"/>
        </w:rPr>
        <w:t xml:space="preserve"> </w:t>
      </w:r>
      <w:r w:rsidRPr="00B845BA">
        <w:rPr>
          <w:sz w:val="22"/>
          <w:szCs w:val="22"/>
        </w:rPr>
        <w:t xml:space="preserve">Bureau’s investigation of </w:t>
      </w:r>
      <w:r>
        <w:rPr>
          <w:sz w:val="22"/>
          <w:szCs w:val="22"/>
        </w:rPr>
        <w:t>MMK</w:t>
      </w:r>
      <w:r w:rsidRPr="00B845BA">
        <w:rPr>
          <w:sz w:val="22"/>
          <w:szCs w:val="22"/>
        </w:rPr>
        <w:t>’s compliance  with Section 325(a) of the Communications Act of 1934, as amended,</w:t>
      </w:r>
      <w:r w:rsidRPr="00B845BA">
        <w:rPr>
          <w:rStyle w:val="FootnoteReference"/>
          <w:sz w:val="22"/>
          <w:szCs w:val="22"/>
        </w:rPr>
        <w:footnoteReference w:id="5"/>
      </w:r>
      <w:r w:rsidRPr="00B845BA">
        <w:rPr>
          <w:sz w:val="22"/>
          <w:szCs w:val="22"/>
        </w:rPr>
        <w:t xml:space="preserve"> and Section 11.45 of the Commission’s rules</w:t>
      </w:r>
      <w:r w:rsidRPr="00051646">
        <w:rPr>
          <w:rStyle w:val="FootnoteReference"/>
          <w:sz w:val="22"/>
          <w:szCs w:val="22"/>
        </w:rPr>
        <w:footnoteReference w:id="6"/>
      </w:r>
      <w:r w:rsidRPr="00051646">
        <w:rPr>
          <w:sz w:val="22"/>
          <w:szCs w:val="22"/>
        </w:rPr>
        <w:t xml:space="preserve"> pertaining to a </w:t>
      </w:r>
      <w:r w:rsidRPr="00B845BA">
        <w:rPr>
          <w:sz w:val="22"/>
          <w:szCs w:val="22"/>
        </w:rPr>
        <w:t xml:space="preserve">complaint alleging that </w:t>
      </w:r>
      <w:r>
        <w:rPr>
          <w:sz w:val="22"/>
          <w:szCs w:val="22"/>
        </w:rPr>
        <w:t>MMK</w:t>
      </w:r>
      <w:r w:rsidRPr="00B845BA">
        <w:rPr>
          <w:sz w:val="22"/>
          <w:szCs w:val="22"/>
        </w:rPr>
        <w:t xml:space="preserve"> transmitted a commercial </w:t>
      </w:r>
      <w:r>
        <w:rPr>
          <w:sz w:val="22"/>
          <w:szCs w:val="22"/>
        </w:rPr>
        <w:t>that contained</w:t>
      </w:r>
      <w:r w:rsidRPr="00B845BA">
        <w:rPr>
          <w:sz w:val="22"/>
          <w:szCs w:val="22"/>
        </w:rPr>
        <w:t xml:space="preserve"> a simulation of the EAS Attention Signal. </w:t>
      </w:r>
      <w:r w:rsidRPr="00051646">
        <w:rPr>
          <w:sz w:val="22"/>
          <w:szCs w:val="22"/>
        </w:rPr>
        <w:t xml:space="preserve"> </w:t>
      </w:r>
    </w:p>
    <w:p w14:paraId="2B0AA575" w14:textId="77777777" w:rsidR="00115BE4" w:rsidRPr="00B845BA" w:rsidRDefault="00115BE4" w:rsidP="00115BE4">
      <w:pPr>
        <w:pStyle w:val="par1"/>
        <w:numPr>
          <w:ilvl w:val="0"/>
          <w:numId w:val="0"/>
        </w:numPr>
        <w:rPr>
          <w:szCs w:val="22"/>
        </w:rPr>
      </w:pPr>
    </w:p>
    <w:p w14:paraId="527A35D2" w14:textId="77777777" w:rsidR="00115BE4" w:rsidRPr="00B845BA" w:rsidRDefault="00115BE4" w:rsidP="00115BE4">
      <w:pPr>
        <w:pStyle w:val="par1"/>
        <w:numPr>
          <w:ilvl w:val="0"/>
          <w:numId w:val="0"/>
        </w:numPr>
        <w:tabs>
          <w:tab w:val="left" w:pos="720"/>
          <w:tab w:val="num" w:pos="1440"/>
        </w:tabs>
        <w:rPr>
          <w:b/>
          <w:szCs w:val="22"/>
        </w:rPr>
      </w:pPr>
      <w:r w:rsidRPr="00B845BA">
        <w:rPr>
          <w:b/>
          <w:szCs w:val="22"/>
        </w:rPr>
        <w:t>I.         DEFINITIONS</w:t>
      </w:r>
    </w:p>
    <w:p w14:paraId="356F9B99" w14:textId="77777777" w:rsidR="00115BE4" w:rsidRPr="00B845BA" w:rsidRDefault="00115BE4" w:rsidP="00115BE4">
      <w:pPr>
        <w:pStyle w:val="par1"/>
        <w:numPr>
          <w:ilvl w:val="0"/>
          <w:numId w:val="0"/>
        </w:numPr>
        <w:tabs>
          <w:tab w:val="left" w:pos="720"/>
          <w:tab w:val="num" w:pos="1440"/>
        </w:tabs>
        <w:rPr>
          <w:b/>
          <w:szCs w:val="22"/>
        </w:rPr>
      </w:pPr>
    </w:p>
    <w:p w14:paraId="15B0FC0D" w14:textId="77777777" w:rsidR="00115BE4" w:rsidRPr="00B845BA" w:rsidRDefault="00115BE4" w:rsidP="00115BE4">
      <w:pPr>
        <w:pStyle w:val="par1"/>
        <w:numPr>
          <w:ilvl w:val="0"/>
          <w:numId w:val="2"/>
        </w:numPr>
        <w:tabs>
          <w:tab w:val="clear" w:pos="1260"/>
          <w:tab w:val="left" w:pos="1440"/>
        </w:tabs>
        <w:spacing w:after="120"/>
        <w:ind w:left="0"/>
        <w:rPr>
          <w:szCs w:val="22"/>
        </w:rPr>
      </w:pPr>
      <w:r w:rsidRPr="00B845BA">
        <w:rPr>
          <w:szCs w:val="22"/>
        </w:rPr>
        <w:t>For the purposes of this Consent Decree, the following definitions shall apply:</w:t>
      </w:r>
    </w:p>
    <w:p w14:paraId="41C22C6E"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“Act”</w:t>
      </w:r>
      <w:r w:rsidRPr="00B845BA">
        <w:rPr>
          <w:rStyle w:val="ParanumChar"/>
          <w:szCs w:val="22"/>
        </w:rPr>
        <w:t xml:space="preserve"> </w:t>
      </w:r>
      <w:r w:rsidRPr="00B845BA">
        <w:rPr>
          <w:sz w:val="22"/>
          <w:szCs w:val="22"/>
        </w:rPr>
        <w:t xml:space="preserve">means the Communications Act of 1934, as amended, 47 U.S.C. § 151 </w:t>
      </w:r>
      <w:r w:rsidRPr="00B845BA">
        <w:rPr>
          <w:i/>
          <w:sz w:val="22"/>
          <w:szCs w:val="22"/>
        </w:rPr>
        <w:t xml:space="preserve">et </w:t>
      </w:r>
      <w:r w:rsidRPr="00B845BA">
        <w:rPr>
          <w:i/>
          <w:sz w:val="22"/>
          <w:szCs w:val="22"/>
        </w:rPr>
        <w:tab/>
        <w:t>seq.</w:t>
      </w:r>
    </w:p>
    <w:p w14:paraId="512F4A28" w14:textId="77777777" w:rsidR="00115BE4" w:rsidRPr="00B845BA" w:rsidRDefault="00115BE4" w:rsidP="00115BE4">
      <w:pPr>
        <w:tabs>
          <w:tab w:val="left" w:pos="1440"/>
        </w:tabs>
        <w:ind w:left="1008"/>
        <w:rPr>
          <w:sz w:val="22"/>
          <w:szCs w:val="22"/>
        </w:rPr>
      </w:pPr>
    </w:p>
    <w:p w14:paraId="1E3CC457"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“Adopting Order” means the Order of the Bureau adopting the terms of this </w:t>
      </w:r>
      <w:r w:rsidRPr="00B845BA">
        <w:rPr>
          <w:sz w:val="22"/>
          <w:szCs w:val="22"/>
        </w:rPr>
        <w:tab/>
        <w:t>Consent Decree without change, addition, deletion, or modification.</w:t>
      </w:r>
    </w:p>
    <w:p w14:paraId="1C44EEFC" w14:textId="77777777" w:rsidR="00115BE4" w:rsidRPr="00B845BA" w:rsidRDefault="00115BE4" w:rsidP="00115BE4">
      <w:pPr>
        <w:pStyle w:val="ListParagraph"/>
        <w:rPr>
          <w:sz w:val="22"/>
          <w:szCs w:val="22"/>
        </w:rPr>
      </w:pPr>
    </w:p>
    <w:p w14:paraId="1B9107ED" w14:textId="77777777" w:rsidR="00115BE4" w:rsidRPr="00051646" w:rsidRDefault="00115BE4" w:rsidP="00115BE4">
      <w:pPr>
        <w:numPr>
          <w:ilvl w:val="0"/>
          <w:numId w:val="3"/>
        </w:numPr>
        <w:tabs>
          <w:tab w:val="clear" w:pos="1224"/>
        </w:tabs>
        <w:spacing w:after="200"/>
        <w:ind w:left="2160" w:hanging="720"/>
        <w:rPr>
          <w:sz w:val="22"/>
          <w:szCs w:val="22"/>
        </w:rPr>
      </w:pPr>
      <w:r w:rsidRPr="00B845BA">
        <w:rPr>
          <w:sz w:val="22"/>
          <w:szCs w:val="22"/>
        </w:rPr>
        <w:t xml:space="preserve">“Any” shall be construed to include the word “all,” and the word “all” shall be construed to </w:t>
      </w:r>
      <w:r w:rsidRPr="00051646">
        <w:rPr>
          <w:rStyle w:val="ParanumChar"/>
          <w:rFonts w:eastAsia="Calibri"/>
          <w:szCs w:val="22"/>
        </w:rPr>
        <w:t>include</w:t>
      </w:r>
      <w:r w:rsidRPr="00B845BA">
        <w:rPr>
          <w:sz w:val="22"/>
          <w:szCs w:val="22"/>
        </w:rPr>
        <w:t xml:space="preserve"> the word “any.”  Additionally, the word “or” shall be construed to include the word “and,” and the word “and” shall be construed to include the word “or.”  The word “each” shall be construed to include the word “every,” and the word “every” shall be construed to include the word “each.”</w:t>
      </w:r>
    </w:p>
    <w:p w14:paraId="25E9C26D"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“Bureau” means the Enforcement Bureau of the Federal Communications </w:t>
      </w:r>
      <w:r w:rsidRPr="00B845BA">
        <w:rPr>
          <w:sz w:val="22"/>
          <w:szCs w:val="22"/>
        </w:rPr>
        <w:tab/>
        <w:t>Commission.</w:t>
      </w:r>
    </w:p>
    <w:p w14:paraId="13D49356" w14:textId="77777777" w:rsidR="00115BE4" w:rsidRPr="00B845BA" w:rsidRDefault="00115BE4" w:rsidP="00115BE4">
      <w:pPr>
        <w:rPr>
          <w:sz w:val="22"/>
          <w:szCs w:val="22"/>
        </w:rPr>
      </w:pPr>
    </w:p>
    <w:p w14:paraId="5D250582"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“Commission” and “FCC” mean the Federal Communications Commission and </w:t>
      </w:r>
      <w:r w:rsidRPr="00B845BA">
        <w:rPr>
          <w:sz w:val="22"/>
          <w:szCs w:val="22"/>
        </w:rPr>
        <w:tab/>
        <w:t xml:space="preserve">all of its bureaus and offices.  </w:t>
      </w:r>
    </w:p>
    <w:p w14:paraId="70514010" w14:textId="77777777" w:rsidR="00115BE4" w:rsidRPr="00B845BA" w:rsidRDefault="00115BE4" w:rsidP="00115BE4">
      <w:pPr>
        <w:ind w:left="1008"/>
        <w:rPr>
          <w:sz w:val="22"/>
          <w:szCs w:val="22"/>
        </w:rPr>
      </w:pPr>
    </w:p>
    <w:p w14:paraId="78139EF8" w14:textId="77777777" w:rsidR="00115BE4" w:rsidRPr="00051646" w:rsidRDefault="00115BE4" w:rsidP="00115BE4">
      <w:pPr>
        <w:numPr>
          <w:ilvl w:val="0"/>
          <w:numId w:val="3"/>
        </w:numPr>
        <w:tabs>
          <w:tab w:val="clear" w:pos="1224"/>
        </w:tabs>
        <w:ind w:left="2160" w:hanging="720"/>
        <w:rPr>
          <w:sz w:val="22"/>
          <w:szCs w:val="22"/>
        </w:rPr>
      </w:pPr>
      <w:r w:rsidRPr="00B845BA">
        <w:rPr>
          <w:sz w:val="22"/>
          <w:szCs w:val="22"/>
        </w:rPr>
        <w:t xml:space="preserve">“Communications Laws” means, collectively, the Act, the Rules, and the published and promulgated orders and decisions of the Commission to which </w:t>
      </w:r>
      <w:r>
        <w:rPr>
          <w:sz w:val="22"/>
          <w:szCs w:val="22"/>
        </w:rPr>
        <w:t>MMK</w:t>
      </w:r>
      <w:r w:rsidRPr="00B845BA">
        <w:rPr>
          <w:sz w:val="22"/>
          <w:szCs w:val="22"/>
        </w:rPr>
        <w:t xml:space="preserve"> is subject by virtue of it being a Commission licensee, including but not limited to Section 325(a) of the Act and </w:t>
      </w:r>
      <w:r w:rsidRPr="00051646">
        <w:rPr>
          <w:sz w:val="22"/>
          <w:szCs w:val="22"/>
        </w:rPr>
        <w:t xml:space="preserve">Section 11.45 of the Commission’s rules. </w:t>
      </w:r>
    </w:p>
    <w:p w14:paraId="23C6855C" w14:textId="77777777" w:rsidR="00115BE4" w:rsidRPr="00B845BA" w:rsidRDefault="00115BE4" w:rsidP="00115BE4">
      <w:pPr>
        <w:rPr>
          <w:sz w:val="22"/>
          <w:szCs w:val="22"/>
        </w:rPr>
      </w:pPr>
    </w:p>
    <w:p w14:paraId="11F6D83E" w14:textId="77777777" w:rsidR="00115BE4" w:rsidRPr="00B845BA" w:rsidRDefault="00115BE4" w:rsidP="00115BE4">
      <w:pPr>
        <w:numPr>
          <w:ilvl w:val="0"/>
          <w:numId w:val="3"/>
        </w:numPr>
        <w:tabs>
          <w:tab w:val="clear" w:pos="1224"/>
          <w:tab w:val="num" w:pos="2160"/>
        </w:tabs>
        <w:ind w:left="2160" w:hanging="720"/>
        <w:rPr>
          <w:sz w:val="22"/>
          <w:szCs w:val="22"/>
        </w:rPr>
      </w:pPr>
      <w:r w:rsidRPr="00B845BA">
        <w:rPr>
          <w:sz w:val="22"/>
          <w:szCs w:val="22"/>
        </w:rPr>
        <w:t>“Complainant” means the individual transmitting and filing the third-party complaint alleging violation of Section 325(a) of the Act and Section 11.45 of the Commission’s rules, received by, or in the possession of, the Bureau.</w:t>
      </w:r>
    </w:p>
    <w:p w14:paraId="45D27061" w14:textId="77777777" w:rsidR="00115BE4" w:rsidRPr="00B845BA" w:rsidRDefault="00115BE4" w:rsidP="00115BE4">
      <w:pPr>
        <w:rPr>
          <w:sz w:val="22"/>
          <w:szCs w:val="22"/>
        </w:rPr>
      </w:pPr>
    </w:p>
    <w:p w14:paraId="352E195F" w14:textId="77777777" w:rsidR="00115BE4" w:rsidRPr="00B845BA" w:rsidRDefault="00115BE4" w:rsidP="00115BE4">
      <w:pPr>
        <w:numPr>
          <w:ilvl w:val="0"/>
          <w:numId w:val="3"/>
        </w:numPr>
        <w:tabs>
          <w:tab w:val="clear" w:pos="1224"/>
        </w:tabs>
        <w:ind w:left="2160" w:hanging="720"/>
        <w:rPr>
          <w:sz w:val="22"/>
          <w:szCs w:val="22"/>
        </w:rPr>
      </w:pPr>
      <w:r w:rsidRPr="00B845BA">
        <w:rPr>
          <w:sz w:val="22"/>
          <w:szCs w:val="22"/>
        </w:rPr>
        <w:t>“Complaint” means the third-party complaint alleging violation of Section 325(a) of the Act and</w:t>
      </w:r>
      <w:r w:rsidRPr="00051646" w:rsidDel="00030433">
        <w:rPr>
          <w:sz w:val="22"/>
          <w:szCs w:val="22"/>
        </w:rPr>
        <w:t xml:space="preserve"> </w:t>
      </w:r>
      <w:r w:rsidRPr="00B845BA">
        <w:rPr>
          <w:sz w:val="22"/>
          <w:szCs w:val="22"/>
        </w:rPr>
        <w:t>Section 11.45 of the Rules, received by, or in the possession of, the Bureau.</w:t>
      </w:r>
    </w:p>
    <w:p w14:paraId="44902D13" w14:textId="77777777" w:rsidR="00115BE4" w:rsidRPr="00B845BA" w:rsidRDefault="00115BE4" w:rsidP="00115BE4">
      <w:pPr>
        <w:rPr>
          <w:sz w:val="22"/>
          <w:szCs w:val="22"/>
        </w:rPr>
      </w:pPr>
    </w:p>
    <w:p w14:paraId="6A1E0A64"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b/>
          <w:sz w:val="22"/>
          <w:szCs w:val="22"/>
        </w:rPr>
        <w:t xml:space="preserve"> </w:t>
      </w:r>
      <w:r w:rsidRPr="00B845BA">
        <w:rPr>
          <w:sz w:val="22"/>
          <w:szCs w:val="22"/>
        </w:rPr>
        <w:t xml:space="preserve">“Compliance Plan” means the compliance obligations, program, and procedures </w:t>
      </w:r>
      <w:r w:rsidRPr="00B845BA">
        <w:rPr>
          <w:sz w:val="22"/>
          <w:szCs w:val="22"/>
        </w:rPr>
        <w:tab/>
        <w:t>described in this Consent Decree at paragraph 1</w:t>
      </w:r>
      <w:r>
        <w:rPr>
          <w:sz w:val="22"/>
          <w:szCs w:val="22"/>
        </w:rPr>
        <w:t>1</w:t>
      </w:r>
      <w:r w:rsidRPr="00B845BA">
        <w:rPr>
          <w:sz w:val="22"/>
          <w:szCs w:val="22"/>
        </w:rPr>
        <w:t>.</w:t>
      </w:r>
    </w:p>
    <w:p w14:paraId="1D818C07" w14:textId="77777777" w:rsidR="00115BE4" w:rsidRPr="00B845BA" w:rsidRDefault="00115BE4" w:rsidP="00115BE4">
      <w:pPr>
        <w:pStyle w:val="ListParagraph"/>
        <w:rPr>
          <w:sz w:val="22"/>
          <w:szCs w:val="22"/>
        </w:rPr>
      </w:pPr>
    </w:p>
    <w:p w14:paraId="0DE59906" w14:textId="77777777" w:rsidR="00115BE4" w:rsidRPr="00051646" w:rsidRDefault="00115BE4" w:rsidP="00115BE4">
      <w:pPr>
        <w:numPr>
          <w:ilvl w:val="0"/>
          <w:numId w:val="3"/>
        </w:numPr>
        <w:tabs>
          <w:tab w:val="clear" w:pos="1224"/>
        </w:tabs>
        <w:ind w:left="2160" w:hanging="720"/>
        <w:rPr>
          <w:sz w:val="22"/>
          <w:szCs w:val="22"/>
        </w:rPr>
      </w:pPr>
      <w:r w:rsidRPr="00B845BA">
        <w:rPr>
          <w:color w:val="000000"/>
          <w:sz w:val="22"/>
          <w:szCs w:val="22"/>
        </w:rPr>
        <w:t>“Compliance Officer” means the individual designated in paragraph 10 of this Consent Decree as the person responsible for administration of the Compliance Plan.</w:t>
      </w:r>
    </w:p>
    <w:p w14:paraId="3C2C42A9" w14:textId="77777777" w:rsidR="00115BE4" w:rsidRPr="00B845BA" w:rsidRDefault="00115BE4" w:rsidP="00115BE4">
      <w:pPr>
        <w:ind w:left="1440"/>
        <w:rPr>
          <w:sz w:val="22"/>
          <w:szCs w:val="22"/>
        </w:rPr>
      </w:pPr>
    </w:p>
    <w:p w14:paraId="0906322D" w14:textId="77777777" w:rsidR="00115BE4" w:rsidRPr="00B845BA" w:rsidRDefault="00115BE4" w:rsidP="00115BE4">
      <w:pPr>
        <w:numPr>
          <w:ilvl w:val="0"/>
          <w:numId w:val="3"/>
        </w:numPr>
        <w:tabs>
          <w:tab w:val="clear" w:pos="1224"/>
          <w:tab w:val="num" w:pos="2160"/>
        </w:tabs>
        <w:ind w:left="2160" w:hanging="720"/>
        <w:rPr>
          <w:sz w:val="22"/>
          <w:szCs w:val="22"/>
        </w:rPr>
      </w:pPr>
      <w:r w:rsidRPr="00B845BA">
        <w:rPr>
          <w:sz w:val="22"/>
          <w:szCs w:val="22"/>
        </w:rPr>
        <w:t xml:space="preserve">“Covered Employees” means all employees and agents of </w:t>
      </w:r>
      <w:r>
        <w:rPr>
          <w:sz w:val="22"/>
          <w:szCs w:val="22"/>
        </w:rPr>
        <w:t>MMK</w:t>
      </w:r>
      <w:r w:rsidRPr="00B845BA">
        <w:rPr>
          <w:sz w:val="22"/>
          <w:szCs w:val="22"/>
        </w:rPr>
        <w:t xml:space="preserve"> who perform, or supervise, oversee, or manage the performance of, duties that relate to </w:t>
      </w:r>
      <w:r>
        <w:rPr>
          <w:sz w:val="22"/>
          <w:szCs w:val="22"/>
        </w:rPr>
        <w:t>MMK</w:t>
      </w:r>
      <w:r w:rsidRPr="00B845BA">
        <w:rPr>
          <w:sz w:val="22"/>
          <w:szCs w:val="22"/>
        </w:rPr>
        <w:t>’s responsibilities under the Act and Commission’s rules.</w:t>
      </w:r>
    </w:p>
    <w:p w14:paraId="4DBFA796" w14:textId="77777777" w:rsidR="00115BE4" w:rsidRPr="00B845BA" w:rsidRDefault="00115BE4" w:rsidP="00115BE4">
      <w:pPr>
        <w:tabs>
          <w:tab w:val="left" w:pos="1440"/>
        </w:tabs>
        <w:ind w:left="1008"/>
        <w:rPr>
          <w:sz w:val="22"/>
          <w:szCs w:val="22"/>
        </w:rPr>
      </w:pPr>
    </w:p>
    <w:p w14:paraId="4C8D0B05"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“Effective Date” means the date on which the Bureau releases the Adopting </w:t>
      </w:r>
      <w:r w:rsidRPr="00B845BA">
        <w:rPr>
          <w:sz w:val="22"/>
          <w:szCs w:val="22"/>
        </w:rPr>
        <w:tab/>
        <w:t>Order.</w:t>
      </w:r>
    </w:p>
    <w:p w14:paraId="59EC9D60" w14:textId="77777777" w:rsidR="00115BE4" w:rsidRPr="00B845BA" w:rsidRDefault="00115BE4" w:rsidP="00115BE4">
      <w:pPr>
        <w:ind w:left="1008"/>
        <w:rPr>
          <w:sz w:val="22"/>
          <w:szCs w:val="22"/>
        </w:rPr>
      </w:pPr>
    </w:p>
    <w:p w14:paraId="655E4E8E" w14:textId="77777777" w:rsidR="00115BE4" w:rsidRPr="00B845BA" w:rsidRDefault="00115BE4" w:rsidP="00115BE4">
      <w:pPr>
        <w:numPr>
          <w:ilvl w:val="0"/>
          <w:numId w:val="3"/>
        </w:numPr>
        <w:tabs>
          <w:tab w:val="clear" w:pos="1224"/>
        </w:tabs>
        <w:ind w:left="2160" w:hanging="720"/>
        <w:rPr>
          <w:color w:val="000000"/>
          <w:sz w:val="22"/>
          <w:szCs w:val="22"/>
        </w:rPr>
      </w:pPr>
      <w:r w:rsidRPr="00B845BA">
        <w:rPr>
          <w:color w:val="000000"/>
          <w:sz w:val="22"/>
          <w:szCs w:val="22"/>
        </w:rPr>
        <w:t xml:space="preserve">“Investigation” means the Bureau’s investigation of </w:t>
      </w:r>
      <w:r>
        <w:rPr>
          <w:color w:val="000000"/>
          <w:sz w:val="22"/>
          <w:szCs w:val="22"/>
        </w:rPr>
        <w:t>MMK</w:t>
      </w:r>
      <w:r w:rsidRPr="00B845BA">
        <w:rPr>
          <w:color w:val="000000"/>
          <w:sz w:val="22"/>
          <w:szCs w:val="22"/>
        </w:rPr>
        <w:t xml:space="preserve">’s compliance with Section 325(a) of the Act and Section 11.45 of the Commission’s rules, relating to a complaint alleging the broadcast of a commercial </w:t>
      </w:r>
      <w:r>
        <w:rPr>
          <w:color w:val="000000"/>
          <w:sz w:val="22"/>
          <w:szCs w:val="22"/>
        </w:rPr>
        <w:t>that contained</w:t>
      </w:r>
      <w:r w:rsidRPr="00B845BA">
        <w:rPr>
          <w:color w:val="000000"/>
          <w:sz w:val="22"/>
          <w:szCs w:val="22"/>
        </w:rPr>
        <w:t xml:space="preserve"> a simulation of the EAS Attention Signal</w:t>
      </w:r>
      <w:r w:rsidRPr="00B845BA">
        <w:rPr>
          <w:sz w:val="22"/>
          <w:szCs w:val="22"/>
        </w:rPr>
        <w:t>.</w:t>
      </w:r>
    </w:p>
    <w:p w14:paraId="6DF87FE4" w14:textId="77777777" w:rsidR="00115BE4" w:rsidRPr="00051646" w:rsidRDefault="00115BE4" w:rsidP="00115BE4">
      <w:pPr>
        <w:pStyle w:val="ListParagraph"/>
        <w:rPr>
          <w:color w:val="000000"/>
          <w:sz w:val="22"/>
          <w:szCs w:val="22"/>
        </w:rPr>
      </w:pPr>
    </w:p>
    <w:p w14:paraId="714F33A7" w14:textId="77777777" w:rsidR="00115BE4" w:rsidRPr="00B845BA" w:rsidRDefault="00115BE4" w:rsidP="00115BE4">
      <w:pPr>
        <w:numPr>
          <w:ilvl w:val="0"/>
          <w:numId w:val="3"/>
        </w:numPr>
        <w:tabs>
          <w:tab w:val="clear" w:pos="1224"/>
        </w:tabs>
        <w:ind w:left="2160" w:hanging="720"/>
        <w:rPr>
          <w:color w:val="000000"/>
          <w:sz w:val="22"/>
          <w:szCs w:val="22"/>
        </w:rPr>
      </w:pPr>
      <w:r w:rsidRPr="00B845BA">
        <w:rPr>
          <w:sz w:val="22"/>
          <w:szCs w:val="22"/>
        </w:rPr>
        <w:t xml:space="preserve">“LOI” refers to the June 25, 2012, Letter of Inquiry sent by the Bureau to </w:t>
      </w:r>
      <w:r>
        <w:rPr>
          <w:sz w:val="22"/>
          <w:szCs w:val="22"/>
        </w:rPr>
        <w:t>MMK</w:t>
      </w:r>
      <w:r w:rsidRPr="00B845BA">
        <w:rPr>
          <w:sz w:val="22"/>
          <w:szCs w:val="22"/>
        </w:rPr>
        <w:t xml:space="preserve"> regarding File No. EB-13-IH-0059.</w:t>
      </w:r>
    </w:p>
    <w:p w14:paraId="067D882E" w14:textId="77777777" w:rsidR="00115BE4" w:rsidRPr="00B845BA" w:rsidRDefault="00115BE4" w:rsidP="00115BE4">
      <w:pPr>
        <w:ind w:left="1440"/>
        <w:rPr>
          <w:sz w:val="22"/>
          <w:szCs w:val="22"/>
        </w:rPr>
      </w:pPr>
    </w:p>
    <w:p w14:paraId="18DDFF97" w14:textId="77777777" w:rsidR="00115BE4" w:rsidRPr="00B845BA" w:rsidRDefault="00115BE4" w:rsidP="00115BE4">
      <w:pPr>
        <w:numPr>
          <w:ilvl w:val="0"/>
          <w:numId w:val="3"/>
        </w:numPr>
        <w:tabs>
          <w:tab w:val="clear" w:pos="1224"/>
          <w:tab w:val="num" w:pos="2160"/>
        </w:tabs>
        <w:ind w:left="2160" w:hanging="720"/>
        <w:rPr>
          <w:sz w:val="22"/>
          <w:szCs w:val="22"/>
        </w:rPr>
      </w:pPr>
      <w:r w:rsidRPr="00B845BA">
        <w:rPr>
          <w:sz w:val="22"/>
          <w:szCs w:val="22"/>
        </w:rPr>
        <w:t>“</w:t>
      </w:r>
      <w:r>
        <w:rPr>
          <w:sz w:val="22"/>
          <w:szCs w:val="22"/>
        </w:rPr>
        <w:t>MMK</w:t>
      </w:r>
      <w:r w:rsidRPr="00B845BA">
        <w:rPr>
          <w:sz w:val="22"/>
          <w:szCs w:val="22"/>
        </w:rPr>
        <w:t>” means MMK License LLC and its predecessors-in-interest and successors-in-interest.</w:t>
      </w:r>
    </w:p>
    <w:p w14:paraId="17A30426" w14:textId="77777777" w:rsidR="00115BE4" w:rsidRPr="00B845BA" w:rsidRDefault="00115BE4" w:rsidP="00115BE4">
      <w:pPr>
        <w:pStyle w:val="ListParagraph"/>
        <w:rPr>
          <w:sz w:val="22"/>
          <w:szCs w:val="22"/>
        </w:rPr>
      </w:pPr>
    </w:p>
    <w:p w14:paraId="63E2D36F"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“Operating Procedures” means the standard, internal operating procedures and </w:t>
      </w:r>
      <w:r w:rsidRPr="00B845BA">
        <w:rPr>
          <w:sz w:val="22"/>
          <w:szCs w:val="22"/>
        </w:rPr>
        <w:tab/>
        <w:t xml:space="preserve">compliance policies established by </w:t>
      </w:r>
      <w:r>
        <w:rPr>
          <w:sz w:val="22"/>
          <w:szCs w:val="22"/>
        </w:rPr>
        <w:t>MMK</w:t>
      </w:r>
      <w:r w:rsidRPr="00B845BA">
        <w:rPr>
          <w:sz w:val="22"/>
          <w:szCs w:val="22"/>
        </w:rPr>
        <w:t xml:space="preserve"> to implement the Compliance </w:t>
      </w:r>
      <w:r w:rsidRPr="00B845BA">
        <w:rPr>
          <w:sz w:val="22"/>
          <w:szCs w:val="22"/>
        </w:rPr>
        <w:tab/>
        <w:t>Plan.</w:t>
      </w:r>
    </w:p>
    <w:p w14:paraId="0FD63AEB" w14:textId="77777777" w:rsidR="00115BE4" w:rsidRPr="00B845BA" w:rsidRDefault="00115BE4" w:rsidP="00115BE4">
      <w:pPr>
        <w:ind w:left="1008"/>
        <w:rPr>
          <w:sz w:val="22"/>
          <w:szCs w:val="22"/>
        </w:rPr>
      </w:pPr>
    </w:p>
    <w:p w14:paraId="289F0AEF"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“Parties” means </w:t>
      </w:r>
      <w:r>
        <w:rPr>
          <w:sz w:val="22"/>
          <w:szCs w:val="22"/>
        </w:rPr>
        <w:t>MMK</w:t>
      </w:r>
      <w:r w:rsidRPr="00B845BA">
        <w:rPr>
          <w:sz w:val="22"/>
          <w:szCs w:val="22"/>
        </w:rPr>
        <w:t xml:space="preserve"> and the Bureau, each of which is a “Party.”</w:t>
      </w:r>
    </w:p>
    <w:p w14:paraId="78734A30" w14:textId="77777777" w:rsidR="00115BE4" w:rsidRPr="00B845BA" w:rsidRDefault="00115BE4" w:rsidP="00115BE4">
      <w:pPr>
        <w:rPr>
          <w:sz w:val="22"/>
          <w:szCs w:val="22"/>
        </w:rPr>
      </w:pPr>
    </w:p>
    <w:p w14:paraId="79F20BB2" w14:textId="77777777" w:rsidR="00115BE4" w:rsidRPr="00B845BA" w:rsidRDefault="00115BE4" w:rsidP="00115BE4">
      <w:pPr>
        <w:numPr>
          <w:ilvl w:val="0"/>
          <w:numId w:val="3"/>
        </w:numPr>
        <w:tabs>
          <w:tab w:val="clear" w:pos="1224"/>
          <w:tab w:val="num" w:pos="1440"/>
        </w:tabs>
        <w:ind w:left="1440" w:firstLine="0"/>
        <w:rPr>
          <w:sz w:val="22"/>
          <w:szCs w:val="22"/>
        </w:rPr>
      </w:pPr>
      <w:r w:rsidRPr="00B845BA">
        <w:rPr>
          <w:sz w:val="22"/>
          <w:szCs w:val="22"/>
        </w:rPr>
        <w:t xml:space="preserve">“Rules” means the Commission’s regulations found in Title 47 of the Code of </w:t>
      </w:r>
      <w:r w:rsidRPr="00B845BA">
        <w:rPr>
          <w:sz w:val="22"/>
          <w:szCs w:val="22"/>
        </w:rPr>
        <w:tab/>
        <w:t>Federal Regulations.</w:t>
      </w:r>
    </w:p>
    <w:p w14:paraId="55B79A08" w14:textId="77777777" w:rsidR="00115BE4" w:rsidRPr="00B845BA" w:rsidRDefault="00115BE4" w:rsidP="00115BE4">
      <w:pPr>
        <w:ind w:left="1008"/>
        <w:rPr>
          <w:sz w:val="22"/>
          <w:szCs w:val="22"/>
        </w:rPr>
      </w:pPr>
    </w:p>
    <w:p w14:paraId="7F9D142C" w14:textId="77777777" w:rsidR="00115BE4" w:rsidRPr="00B845BA" w:rsidRDefault="00115BE4" w:rsidP="00115BE4">
      <w:pPr>
        <w:numPr>
          <w:ilvl w:val="0"/>
          <w:numId w:val="3"/>
        </w:numPr>
        <w:tabs>
          <w:tab w:val="clear" w:pos="1224"/>
          <w:tab w:val="num" w:pos="1440"/>
        </w:tabs>
        <w:ind w:left="2160" w:hanging="720"/>
        <w:rPr>
          <w:color w:val="000000"/>
          <w:sz w:val="22"/>
          <w:szCs w:val="22"/>
        </w:rPr>
      </w:pPr>
      <w:r w:rsidRPr="00B845BA">
        <w:rPr>
          <w:sz w:val="22"/>
          <w:szCs w:val="22"/>
        </w:rPr>
        <w:t>“Station” means commercial television Station WNKY(DT), Bowling Green, Kentucky (Facility ID No. 61217).</w:t>
      </w:r>
    </w:p>
    <w:p w14:paraId="15F20753" w14:textId="77777777" w:rsidR="00115BE4" w:rsidRDefault="00115BE4" w:rsidP="0076725C">
      <w:pPr>
        <w:rPr>
          <w:color w:val="000000"/>
          <w:sz w:val="22"/>
          <w:szCs w:val="22"/>
        </w:rPr>
      </w:pPr>
    </w:p>
    <w:p w14:paraId="6E92114B" w14:textId="77777777" w:rsidR="0076725C" w:rsidRDefault="0076725C" w:rsidP="0076725C">
      <w:pPr>
        <w:rPr>
          <w:color w:val="000000"/>
          <w:sz w:val="22"/>
          <w:szCs w:val="22"/>
        </w:rPr>
      </w:pPr>
    </w:p>
    <w:p w14:paraId="74AE631A" w14:textId="77777777" w:rsidR="0076725C" w:rsidRDefault="0076725C" w:rsidP="0076725C">
      <w:pPr>
        <w:rPr>
          <w:color w:val="000000"/>
          <w:sz w:val="22"/>
          <w:szCs w:val="22"/>
        </w:rPr>
      </w:pPr>
    </w:p>
    <w:p w14:paraId="611CDC32" w14:textId="77777777" w:rsidR="0076725C" w:rsidRPr="00B845BA" w:rsidRDefault="0076725C" w:rsidP="0076725C">
      <w:pPr>
        <w:rPr>
          <w:sz w:val="22"/>
          <w:szCs w:val="22"/>
        </w:rPr>
      </w:pPr>
    </w:p>
    <w:p w14:paraId="010FBD2B" w14:textId="77777777" w:rsidR="00115BE4" w:rsidRPr="00B845BA" w:rsidRDefault="00115BE4" w:rsidP="00115BE4">
      <w:pPr>
        <w:keepNext/>
        <w:tabs>
          <w:tab w:val="left" w:pos="720"/>
        </w:tabs>
        <w:rPr>
          <w:b/>
          <w:sz w:val="22"/>
          <w:szCs w:val="22"/>
        </w:rPr>
      </w:pPr>
      <w:r w:rsidRPr="00B845BA">
        <w:rPr>
          <w:b/>
          <w:sz w:val="22"/>
          <w:szCs w:val="22"/>
        </w:rPr>
        <w:t>II.</w:t>
      </w:r>
      <w:r w:rsidRPr="00B845BA">
        <w:rPr>
          <w:b/>
          <w:sz w:val="22"/>
          <w:szCs w:val="22"/>
        </w:rPr>
        <w:tab/>
        <w:t>BACKGROUND</w:t>
      </w:r>
    </w:p>
    <w:p w14:paraId="53D8CF12" w14:textId="77777777" w:rsidR="00115BE4" w:rsidRPr="00B845BA" w:rsidRDefault="00115BE4" w:rsidP="00115BE4">
      <w:pPr>
        <w:pStyle w:val="par1"/>
        <w:numPr>
          <w:ilvl w:val="0"/>
          <w:numId w:val="0"/>
        </w:numPr>
        <w:rPr>
          <w:szCs w:val="22"/>
        </w:rPr>
      </w:pPr>
    </w:p>
    <w:p w14:paraId="3F8CC513" w14:textId="77777777" w:rsidR="00115BE4" w:rsidRPr="00B845BA" w:rsidRDefault="00115BE4" w:rsidP="00115BE4">
      <w:pPr>
        <w:pStyle w:val="ParaNum"/>
        <w:widowControl/>
        <w:numPr>
          <w:ilvl w:val="0"/>
          <w:numId w:val="2"/>
        </w:numPr>
        <w:spacing w:after="0"/>
        <w:ind w:left="0"/>
        <w:rPr>
          <w:szCs w:val="22"/>
        </w:rPr>
      </w:pPr>
      <w:r w:rsidRPr="00B845BA">
        <w:rPr>
          <w:szCs w:val="22"/>
        </w:rPr>
        <w:t>Pursuant to Section 325(a) of the Act, no person within the jurisdiction of the United States shall knowingly utter or transmit any false signals of distress.</w:t>
      </w:r>
      <w:r w:rsidRPr="00B845BA">
        <w:rPr>
          <w:rStyle w:val="FootnoteReference"/>
          <w:sz w:val="22"/>
          <w:szCs w:val="22"/>
        </w:rPr>
        <w:footnoteReference w:id="7"/>
      </w:r>
      <w:r w:rsidRPr="00B845BA">
        <w:rPr>
          <w:szCs w:val="22"/>
        </w:rPr>
        <w:t xml:space="preserve">  Additionally, Section 11.45 of the Rules prohibits </w:t>
      </w:r>
      <w:r>
        <w:rPr>
          <w:szCs w:val="22"/>
        </w:rPr>
        <w:t xml:space="preserve">the transmission of </w:t>
      </w:r>
      <w:r w:rsidRPr="00B845BA">
        <w:rPr>
          <w:szCs w:val="22"/>
        </w:rPr>
        <w:t xml:space="preserve">false or deceptive </w:t>
      </w:r>
      <w:r>
        <w:rPr>
          <w:szCs w:val="22"/>
        </w:rPr>
        <w:t>“</w:t>
      </w:r>
      <w:r w:rsidRPr="00B845BA">
        <w:rPr>
          <w:szCs w:val="22"/>
        </w:rPr>
        <w:t xml:space="preserve">EAS </w:t>
      </w:r>
      <w:r>
        <w:rPr>
          <w:szCs w:val="22"/>
        </w:rPr>
        <w:t xml:space="preserve">codes or Attention Signal[s], or a recording or simulation thereof, </w:t>
      </w:r>
      <w:r w:rsidRPr="00B845BA">
        <w:rPr>
          <w:szCs w:val="22"/>
        </w:rPr>
        <w:t xml:space="preserve">in any circumstance other than </w:t>
      </w:r>
      <w:r>
        <w:rPr>
          <w:szCs w:val="22"/>
        </w:rPr>
        <w:t xml:space="preserve">in </w:t>
      </w:r>
      <w:r w:rsidRPr="00B845BA">
        <w:rPr>
          <w:szCs w:val="22"/>
        </w:rPr>
        <w:t>an actual National, State, or Local Area emergency or authorized test of the EAS.</w:t>
      </w:r>
      <w:r>
        <w:rPr>
          <w:szCs w:val="22"/>
        </w:rPr>
        <w:t>”</w:t>
      </w:r>
      <w:r w:rsidRPr="00B845BA">
        <w:rPr>
          <w:rStyle w:val="FootnoteReference"/>
          <w:sz w:val="22"/>
          <w:szCs w:val="22"/>
        </w:rPr>
        <w:footnoteReference w:id="8"/>
      </w:r>
      <w:r w:rsidRPr="00B845BA">
        <w:rPr>
          <w:szCs w:val="22"/>
        </w:rPr>
        <w:t xml:space="preserve">  </w:t>
      </w:r>
    </w:p>
    <w:p w14:paraId="16713F8C" w14:textId="77777777" w:rsidR="00115BE4" w:rsidRPr="00B845BA" w:rsidRDefault="00115BE4" w:rsidP="00115BE4">
      <w:pPr>
        <w:pStyle w:val="ParaNum"/>
        <w:widowControl/>
        <w:numPr>
          <w:ilvl w:val="0"/>
          <w:numId w:val="0"/>
        </w:numPr>
        <w:spacing w:after="0"/>
        <w:ind w:left="900"/>
        <w:rPr>
          <w:szCs w:val="22"/>
        </w:rPr>
      </w:pPr>
    </w:p>
    <w:p w14:paraId="119FA8F1" w14:textId="77777777" w:rsidR="00115BE4" w:rsidRPr="00051646" w:rsidRDefault="00115BE4" w:rsidP="00115BE4">
      <w:pPr>
        <w:pStyle w:val="par1"/>
        <w:numPr>
          <w:ilvl w:val="0"/>
          <w:numId w:val="2"/>
        </w:numPr>
        <w:tabs>
          <w:tab w:val="clear" w:pos="1260"/>
          <w:tab w:val="left" w:pos="1440"/>
        </w:tabs>
        <w:spacing w:after="120"/>
        <w:ind w:left="0"/>
        <w:rPr>
          <w:b/>
          <w:szCs w:val="22"/>
        </w:rPr>
      </w:pPr>
      <w:r w:rsidRPr="00B845BA">
        <w:rPr>
          <w:szCs w:val="22"/>
        </w:rPr>
        <w:t>The Commission received a Complaint alleging that</w:t>
      </w:r>
      <w:r>
        <w:rPr>
          <w:szCs w:val="22"/>
        </w:rPr>
        <w:t>,</w:t>
      </w:r>
      <w:r w:rsidRPr="00B845BA">
        <w:rPr>
          <w:szCs w:val="22"/>
        </w:rPr>
        <w:t xml:space="preserve"> on June 15, 2012, the Station broadcast a commercial </w:t>
      </w:r>
      <w:r>
        <w:rPr>
          <w:szCs w:val="22"/>
        </w:rPr>
        <w:t>containing</w:t>
      </w:r>
      <w:r w:rsidRPr="00B845BA">
        <w:rPr>
          <w:szCs w:val="22"/>
        </w:rPr>
        <w:t xml:space="preserve"> an auditory signal that resembles the Emergency Alert System (EAS) Attention Signal, absent an emergency or authorized EAS test.</w:t>
      </w:r>
      <w:r w:rsidRPr="00B845BA">
        <w:rPr>
          <w:rStyle w:val="FootnoteReference"/>
          <w:sz w:val="22"/>
          <w:szCs w:val="22"/>
        </w:rPr>
        <w:footnoteReference w:id="9"/>
      </w:r>
      <w:r>
        <w:rPr>
          <w:szCs w:val="22"/>
        </w:rPr>
        <w:t xml:space="preserve">  </w:t>
      </w:r>
      <w:r w:rsidRPr="00B845BA">
        <w:rPr>
          <w:szCs w:val="22"/>
        </w:rPr>
        <w:t xml:space="preserve">The Complainant </w:t>
      </w:r>
      <w:r>
        <w:rPr>
          <w:szCs w:val="22"/>
        </w:rPr>
        <w:t>specifically</w:t>
      </w:r>
      <w:r w:rsidRPr="00B845BA">
        <w:rPr>
          <w:szCs w:val="22"/>
        </w:rPr>
        <w:t xml:space="preserve"> alleges that “The Fan Wear &amp; More Store is running an advertisement that stops in the middle of the commercial and sounds the exact tone used for the Emergency Alert warnings.”</w:t>
      </w:r>
      <w:r w:rsidRPr="00B845BA">
        <w:rPr>
          <w:rStyle w:val="FootnoteReference"/>
          <w:sz w:val="22"/>
          <w:szCs w:val="22"/>
        </w:rPr>
        <w:footnoteReference w:id="10"/>
      </w:r>
      <w:r w:rsidRPr="00B845BA">
        <w:rPr>
          <w:szCs w:val="22"/>
        </w:rPr>
        <w:t xml:space="preserve">  In response to the Complaint, the Bureau’s Investigations and Hearings Division sent a Letter of Inquiry to </w:t>
      </w:r>
      <w:r>
        <w:rPr>
          <w:szCs w:val="22"/>
        </w:rPr>
        <w:t xml:space="preserve">MMK </w:t>
      </w:r>
      <w:r w:rsidRPr="00B845BA">
        <w:rPr>
          <w:szCs w:val="22"/>
        </w:rPr>
        <w:t xml:space="preserve">directing </w:t>
      </w:r>
      <w:r>
        <w:rPr>
          <w:szCs w:val="22"/>
        </w:rPr>
        <w:t xml:space="preserve">the Licensee </w:t>
      </w:r>
      <w:r w:rsidRPr="00B845BA">
        <w:rPr>
          <w:szCs w:val="22"/>
        </w:rPr>
        <w:t xml:space="preserve">to submit, among other things, sworn written statements </w:t>
      </w:r>
      <w:r>
        <w:rPr>
          <w:szCs w:val="22"/>
        </w:rPr>
        <w:t>describing</w:t>
      </w:r>
      <w:r w:rsidRPr="00B845BA">
        <w:rPr>
          <w:szCs w:val="22"/>
        </w:rPr>
        <w:t xml:space="preserve"> its compliance with Section 325(a) of the Act and Section 11.45 of the Rules.</w:t>
      </w:r>
      <w:r w:rsidRPr="00B845BA">
        <w:rPr>
          <w:rStyle w:val="FootnoteReference"/>
          <w:sz w:val="22"/>
          <w:szCs w:val="22"/>
        </w:rPr>
        <w:footnoteReference w:id="11"/>
      </w:r>
      <w:r w:rsidRPr="00051646">
        <w:rPr>
          <w:szCs w:val="22"/>
        </w:rPr>
        <w:t xml:space="preserve">  In its </w:t>
      </w:r>
      <w:r>
        <w:rPr>
          <w:szCs w:val="22"/>
        </w:rPr>
        <w:t xml:space="preserve">LOI </w:t>
      </w:r>
      <w:r w:rsidRPr="00051646">
        <w:rPr>
          <w:szCs w:val="22"/>
        </w:rPr>
        <w:t>Response</w:t>
      </w:r>
      <w:r>
        <w:rPr>
          <w:szCs w:val="22"/>
        </w:rPr>
        <w:t>,</w:t>
      </w:r>
      <w:r w:rsidRPr="00051646">
        <w:rPr>
          <w:szCs w:val="22"/>
        </w:rPr>
        <w:t xml:space="preserve"> </w:t>
      </w:r>
      <w:r>
        <w:rPr>
          <w:szCs w:val="22"/>
        </w:rPr>
        <w:t>MMK</w:t>
      </w:r>
      <w:r w:rsidRPr="00051646">
        <w:rPr>
          <w:szCs w:val="22"/>
        </w:rPr>
        <w:t xml:space="preserve"> </w:t>
      </w:r>
      <w:r w:rsidRPr="00B845BA">
        <w:rPr>
          <w:szCs w:val="22"/>
        </w:rPr>
        <w:t>d</w:t>
      </w:r>
      <w:r>
        <w:rPr>
          <w:szCs w:val="22"/>
        </w:rPr>
        <w:t>oes</w:t>
      </w:r>
      <w:r w:rsidRPr="00B845BA">
        <w:rPr>
          <w:szCs w:val="22"/>
        </w:rPr>
        <w:t xml:space="preserve"> not dispute that it broadcast a simulation of an EAS tone</w:t>
      </w:r>
      <w:r>
        <w:rPr>
          <w:szCs w:val="22"/>
        </w:rPr>
        <w:t>,</w:t>
      </w:r>
      <w:r w:rsidRPr="00B845BA">
        <w:rPr>
          <w:szCs w:val="22"/>
        </w:rPr>
        <w:t xml:space="preserve"> </w:t>
      </w:r>
      <w:r>
        <w:rPr>
          <w:szCs w:val="22"/>
        </w:rPr>
        <w:t xml:space="preserve">as </w:t>
      </w:r>
      <w:r w:rsidRPr="00B845BA">
        <w:rPr>
          <w:szCs w:val="22"/>
        </w:rPr>
        <w:t>described in the Complaint.</w:t>
      </w:r>
      <w:r w:rsidRPr="00B845BA">
        <w:rPr>
          <w:rStyle w:val="FootnoteReference"/>
          <w:sz w:val="22"/>
          <w:szCs w:val="22"/>
        </w:rPr>
        <w:footnoteReference w:id="12"/>
      </w:r>
      <w:r w:rsidRPr="00B845BA">
        <w:rPr>
          <w:rStyle w:val="FootnoteReference"/>
          <w:sz w:val="22"/>
          <w:szCs w:val="22"/>
        </w:rPr>
        <w:t xml:space="preserve"> </w:t>
      </w:r>
      <w:r w:rsidRPr="00051646">
        <w:rPr>
          <w:szCs w:val="22"/>
        </w:rPr>
        <w:t xml:space="preserve"> </w:t>
      </w:r>
    </w:p>
    <w:p w14:paraId="3520D92D" w14:textId="77777777" w:rsidR="00115BE4" w:rsidRPr="00B845BA" w:rsidRDefault="00115BE4" w:rsidP="00115BE4">
      <w:pPr>
        <w:pStyle w:val="par1"/>
        <w:keepNext/>
        <w:numPr>
          <w:ilvl w:val="0"/>
          <w:numId w:val="2"/>
        </w:numPr>
        <w:tabs>
          <w:tab w:val="clear" w:pos="1260"/>
          <w:tab w:val="left" w:pos="0"/>
          <w:tab w:val="left" w:pos="1440"/>
        </w:tabs>
        <w:spacing w:after="220"/>
        <w:ind w:left="0"/>
        <w:rPr>
          <w:b/>
          <w:szCs w:val="22"/>
        </w:rPr>
      </w:pPr>
      <w:r>
        <w:rPr>
          <w:szCs w:val="22"/>
        </w:rPr>
        <w:t>MMK</w:t>
      </w:r>
      <w:r w:rsidRPr="00B845BA">
        <w:rPr>
          <w:szCs w:val="22"/>
        </w:rPr>
        <w:t xml:space="preserve"> subsequently met with the Bureau </w:t>
      </w:r>
      <w:r>
        <w:rPr>
          <w:szCs w:val="22"/>
        </w:rPr>
        <w:t xml:space="preserve">for purposes of reaching an agreement </w:t>
      </w:r>
      <w:r w:rsidRPr="00B845BA">
        <w:rPr>
          <w:szCs w:val="22"/>
        </w:rPr>
        <w:t>to resolve outstanding issues related to its compliance with the Act and the Rules</w:t>
      </w:r>
      <w:r>
        <w:rPr>
          <w:szCs w:val="22"/>
        </w:rPr>
        <w:t>,</w:t>
      </w:r>
      <w:r w:rsidRPr="00B845BA">
        <w:rPr>
          <w:szCs w:val="22"/>
        </w:rPr>
        <w:t xml:space="preserve"> and terminat</w:t>
      </w:r>
      <w:r>
        <w:rPr>
          <w:szCs w:val="22"/>
        </w:rPr>
        <w:t>e</w:t>
      </w:r>
      <w:r w:rsidRPr="00B845BA">
        <w:rPr>
          <w:szCs w:val="22"/>
        </w:rPr>
        <w:t xml:space="preserve"> the Bureau’s investigations.</w:t>
      </w:r>
    </w:p>
    <w:p w14:paraId="483872F5" w14:textId="77777777" w:rsidR="00115BE4" w:rsidRPr="00B845BA" w:rsidRDefault="00115BE4" w:rsidP="00115BE4">
      <w:pPr>
        <w:pStyle w:val="par1"/>
        <w:keepNext/>
        <w:numPr>
          <w:ilvl w:val="0"/>
          <w:numId w:val="0"/>
        </w:numPr>
        <w:tabs>
          <w:tab w:val="left" w:pos="0"/>
        </w:tabs>
        <w:spacing w:after="220"/>
        <w:rPr>
          <w:b/>
          <w:szCs w:val="22"/>
        </w:rPr>
      </w:pPr>
      <w:r w:rsidRPr="00B845BA">
        <w:rPr>
          <w:b/>
          <w:szCs w:val="22"/>
        </w:rPr>
        <w:t>III.</w:t>
      </w:r>
      <w:r>
        <w:rPr>
          <w:b/>
          <w:szCs w:val="22"/>
        </w:rPr>
        <w:tab/>
      </w:r>
      <w:r w:rsidRPr="00B845BA">
        <w:rPr>
          <w:b/>
          <w:szCs w:val="22"/>
        </w:rPr>
        <w:t>TERMS OF AGREEMENT</w:t>
      </w:r>
    </w:p>
    <w:p w14:paraId="389EF227" w14:textId="77777777" w:rsidR="00115BE4" w:rsidRPr="00B845BA" w:rsidRDefault="00115BE4" w:rsidP="00115BE4">
      <w:pPr>
        <w:pStyle w:val="par1"/>
        <w:numPr>
          <w:ilvl w:val="0"/>
          <w:numId w:val="2"/>
        </w:numPr>
        <w:tabs>
          <w:tab w:val="clear" w:pos="1260"/>
          <w:tab w:val="left" w:pos="1440"/>
        </w:tabs>
        <w:spacing w:after="120"/>
        <w:ind w:left="0"/>
        <w:rPr>
          <w:b/>
          <w:szCs w:val="22"/>
          <w:u w:val="single"/>
        </w:rPr>
      </w:pPr>
      <w:r w:rsidRPr="00B845BA">
        <w:rPr>
          <w:b/>
          <w:szCs w:val="22"/>
          <w:u w:val="single"/>
        </w:rPr>
        <w:t>Adopting Order</w:t>
      </w:r>
      <w:r w:rsidRPr="00B845BA">
        <w:rPr>
          <w:szCs w:val="22"/>
        </w:rPr>
        <w:t>.</w:t>
      </w:r>
      <w:r w:rsidRPr="00B845BA">
        <w:rPr>
          <w:b/>
          <w:szCs w:val="22"/>
        </w:rPr>
        <w:t xml:space="preserve">  </w:t>
      </w:r>
      <w:r w:rsidRPr="00B845BA">
        <w:rPr>
          <w:szCs w:val="22"/>
        </w:rPr>
        <w:t>The Parties agree that the provisions of this Consent Decree shall be subject to final approval by the Bureau by incorporation of such provisions by reference in the Adopting Order.</w:t>
      </w:r>
      <w:r w:rsidRPr="00B845BA">
        <w:rPr>
          <w:b/>
          <w:szCs w:val="22"/>
          <w:u w:val="single"/>
        </w:rPr>
        <w:t xml:space="preserve"> </w:t>
      </w:r>
    </w:p>
    <w:p w14:paraId="44BC9124"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Jurisdiction</w:t>
      </w:r>
      <w:r w:rsidRPr="00B845BA">
        <w:rPr>
          <w:szCs w:val="22"/>
        </w:rPr>
        <w:t xml:space="preserve">.  </w:t>
      </w:r>
      <w:r>
        <w:rPr>
          <w:szCs w:val="22"/>
        </w:rPr>
        <w:t>MMK</w:t>
      </w:r>
      <w:r w:rsidRPr="00B845BA">
        <w:rPr>
          <w:szCs w:val="22"/>
        </w:rPr>
        <w:t xml:space="preserve"> agrees that the Bureau has jurisdiction over it and the matters contained in this Consent Decree and that the Bureau has the authority to enter into and adopt this Consent Decree.</w:t>
      </w:r>
    </w:p>
    <w:p w14:paraId="1118FD27"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Effective Date; Violations</w:t>
      </w:r>
      <w:r w:rsidRPr="00B845BA">
        <w:rPr>
          <w:szCs w:val="22"/>
        </w:rPr>
        <w:t>.  The Parties agree that this Consent Decree shall become effective on the date on which the Bureau releases the Adopting Order.  Upon release, the Adopting Order and this Consent Decree shall have the same force and effect as any other order of the Commission.  Any violation of the Adopting Order or of the terms of this Consent Decree shall constitute a separate violation of a Commission order, entitling the Bureau to exercise any rights and remedies attendant to the enforcement of a Commission order.</w:t>
      </w:r>
    </w:p>
    <w:p w14:paraId="06B48A4D" w14:textId="77777777" w:rsidR="00115BE4" w:rsidRPr="00B845BA" w:rsidRDefault="00115BE4" w:rsidP="00115BE4">
      <w:pPr>
        <w:pStyle w:val="par1"/>
        <w:numPr>
          <w:ilvl w:val="0"/>
          <w:numId w:val="2"/>
        </w:numPr>
        <w:tabs>
          <w:tab w:val="clear" w:pos="1260"/>
          <w:tab w:val="num" w:pos="1440"/>
          <w:tab w:val="num" w:pos="1800"/>
        </w:tabs>
        <w:spacing w:after="120"/>
        <w:ind w:left="0"/>
        <w:rPr>
          <w:szCs w:val="22"/>
        </w:rPr>
      </w:pPr>
      <w:r w:rsidRPr="00B845BA">
        <w:rPr>
          <w:b/>
          <w:szCs w:val="22"/>
          <w:u w:val="single"/>
        </w:rPr>
        <w:t>Termination of Investigation</w:t>
      </w:r>
      <w:r w:rsidRPr="00B845BA">
        <w:rPr>
          <w:szCs w:val="22"/>
        </w:rPr>
        <w:t>.</w:t>
      </w:r>
      <w:r w:rsidRPr="00B845BA">
        <w:rPr>
          <w:b/>
          <w:szCs w:val="22"/>
        </w:rPr>
        <w:t xml:space="preserve">  </w:t>
      </w:r>
      <w:r w:rsidRPr="00B845BA">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w:t>
      </w:r>
      <w:r>
        <w:rPr>
          <w:szCs w:val="22"/>
        </w:rPr>
        <w:t>MMK</w:t>
      </w:r>
      <w:r w:rsidRPr="00B845BA">
        <w:rPr>
          <w:szCs w:val="22"/>
        </w:rPr>
        <w:t xml:space="preserve"> agrees to the terms, conditions, and procedures contained herein.  The Bureau further agrees that in the absence of new material evidence, the Bureau will not use the facts developed in the Investigation through the Effective Date</w:t>
      </w:r>
      <w:r w:rsidRPr="00B07C8A">
        <w:rPr>
          <w:szCs w:val="22"/>
        </w:rPr>
        <w:t xml:space="preserve">, </w:t>
      </w:r>
      <w:r w:rsidRPr="00D43595">
        <w:t xml:space="preserve">or </w:t>
      </w:r>
      <w:r w:rsidRPr="00894287">
        <w:rPr>
          <w:szCs w:val="22"/>
        </w:rPr>
        <w:t xml:space="preserve">use </w:t>
      </w:r>
      <w:r w:rsidRPr="00D43595">
        <w:t>the existence</w:t>
      </w:r>
      <w:r w:rsidRPr="00B07C8A">
        <w:rPr>
          <w:szCs w:val="22"/>
        </w:rPr>
        <w:t xml:space="preserve"> of</w:t>
      </w:r>
      <w:r w:rsidRPr="00B845BA">
        <w:rPr>
          <w:szCs w:val="22"/>
        </w:rPr>
        <w:t xml:space="preserve"> this Consent Decree, to institute on its own motion any new proceeding, formal or informal, or take any action on its own motion against </w:t>
      </w:r>
      <w:r>
        <w:rPr>
          <w:szCs w:val="22"/>
        </w:rPr>
        <w:t>MMK</w:t>
      </w:r>
      <w:r w:rsidRPr="00B845BA">
        <w:rPr>
          <w:szCs w:val="22"/>
        </w:rPr>
        <w:t xml:space="preserve"> concerning the matters that were the subject of the Investigation.  The Bureau also agrees that in the absence of new material evidence it will not use the facts developed in the Investigation through the Effective Date, </w:t>
      </w:r>
      <w:r w:rsidRPr="00B07C8A">
        <w:rPr>
          <w:szCs w:val="22"/>
        </w:rPr>
        <w:t xml:space="preserve">or </w:t>
      </w:r>
      <w:r w:rsidRPr="00D43595">
        <w:t>use</w:t>
      </w:r>
      <w:r w:rsidRPr="007D2D10">
        <w:rPr>
          <w:szCs w:val="22"/>
        </w:rPr>
        <w:t xml:space="preserve"> the existence</w:t>
      </w:r>
      <w:r w:rsidRPr="00B845BA">
        <w:rPr>
          <w:szCs w:val="22"/>
        </w:rPr>
        <w:t xml:space="preserve"> of this Consent Decree, to institute on its own motion any proceeding, formal or informal, or take any action on its own motion against </w:t>
      </w:r>
      <w:r>
        <w:rPr>
          <w:szCs w:val="22"/>
        </w:rPr>
        <w:t>MMK</w:t>
      </w:r>
      <w:r w:rsidRPr="00B845BA">
        <w:rPr>
          <w:szCs w:val="22"/>
        </w:rPr>
        <w:t xml:space="preserve"> with respect to MMK’s basic qualifications, including its character qualifications, to be a Commission licensee or to hold Commission licenses or authorizations.</w:t>
      </w:r>
    </w:p>
    <w:p w14:paraId="572A6A3D" w14:textId="77777777" w:rsidR="00115BE4" w:rsidRPr="00B845BA" w:rsidRDefault="00115BE4" w:rsidP="00115BE4">
      <w:pPr>
        <w:pStyle w:val="par1"/>
        <w:numPr>
          <w:ilvl w:val="0"/>
          <w:numId w:val="2"/>
        </w:numPr>
        <w:tabs>
          <w:tab w:val="clear" w:pos="1260"/>
          <w:tab w:val="num" w:pos="1440"/>
          <w:tab w:val="num" w:pos="1800"/>
        </w:tabs>
        <w:spacing w:after="120"/>
        <w:ind w:left="0"/>
        <w:rPr>
          <w:szCs w:val="22"/>
        </w:rPr>
      </w:pPr>
      <w:r w:rsidRPr="00B845BA">
        <w:rPr>
          <w:b/>
          <w:szCs w:val="22"/>
          <w:u w:val="single"/>
        </w:rPr>
        <w:t>Compliance Officer</w:t>
      </w:r>
      <w:r w:rsidRPr="00B845BA">
        <w:rPr>
          <w:szCs w:val="22"/>
        </w:rPr>
        <w:t>.</w:t>
      </w:r>
      <w:r w:rsidRPr="00B845BA">
        <w:rPr>
          <w:b/>
          <w:szCs w:val="22"/>
        </w:rPr>
        <w:t xml:space="preserve">  </w:t>
      </w:r>
      <w:r w:rsidRPr="00B845BA">
        <w:rPr>
          <w:szCs w:val="22"/>
        </w:rPr>
        <w:t xml:space="preserve">Within thirty (30) calendar days after the Effective Date, </w:t>
      </w:r>
      <w:r>
        <w:rPr>
          <w:szCs w:val="22"/>
        </w:rPr>
        <w:t>MMK</w:t>
      </w:r>
      <w:r w:rsidRPr="00B845BA">
        <w:rPr>
          <w:szCs w:val="22"/>
        </w:rPr>
        <w:t xml:space="preserve">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Pr>
          <w:szCs w:val="22"/>
        </w:rPr>
        <w:t>MMK</w:t>
      </w:r>
      <w:r w:rsidRPr="00B845BA">
        <w:rPr>
          <w:szCs w:val="22"/>
        </w:rPr>
        <w:t xml:space="preserve"> complies with the terms and conditions of the Compliance Plan and this Consent Decree.  In addition to</w:t>
      </w:r>
      <w:r>
        <w:rPr>
          <w:szCs w:val="22"/>
        </w:rPr>
        <w:t xml:space="preserve"> possessing</w:t>
      </w:r>
      <w:r w:rsidRPr="00B845BA">
        <w:rPr>
          <w:szCs w:val="22"/>
        </w:rPr>
        <w:t xml:space="preserve"> the general knowledge of the Communications Laws necessary to discharge his/her duties under this Consent Decree, the Compliance Officer shall have specific knowledge of Section 11.45 of the Commission’s rules and Section 325(a) of the Act.</w:t>
      </w:r>
      <w:r w:rsidRPr="00B845BA">
        <w:rPr>
          <w:b/>
          <w:szCs w:val="22"/>
        </w:rPr>
        <w:t xml:space="preserve"> </w:t>
      </w:r>
    </w:p>
    <w:p w14:paraId="113A7DD4"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Compliance Plan</w:t>
      </w:r>
      <w:r w:rsidRPr="00B845BA">
        <w:rPr>
          <w:szCs w:val="22"/>
        </w:rPr>
        <w:t>.  For purposes of settling the matters set forth herein,</w:t>
      </w:r>
      <w:r w:rsidRPr="00B845BA">
        <w:rPr>
          <w:b/>
          <w:szCs w:val="22"/>
        </w:rPr>
        <w:t xml:space="preserve"> </w:t>
      </w:r>
      <w:r>
        <w:rPr>
          <w:szCs w:val="22"/>
        </w:rPr>
        <w:t>MMK</w:t>
      </w:r>
      <w:r w:rsidRPr="00B845BA">
        <w:rPr>
          <w:szCs w:val="22"/>
        </w:rPr>
        <w:t xml:space="preserve"> agrees that it shall, within sixty (60) calendar days</w:t>
      </w:r>
      <w:r w:rsidRPr="00B845BA">
        <w:rPr>
          <w:b/>
          <w:szCs w:val="22"/>
        </w:rPr>
        <w:t xml:space="preserve"> </w:t>
      </w:r>
      <w:r w:rsidRPr="00B845BA">
        <w:rPr>
          <w:szCs w:val="22"/>
        </w:rPr>
        <w:t>of the Effective Date, develop and implement</w:t>
      </w:r>
      <w:r w:rsidRPr="00B845BA">
        <w:rPr>
          <w:b/>
          <w:szCs w:val="22"/>
        </w:rPr>
        <w:t xml:space="preserve"> </w:t>
      </w:r>
      <w:r w:rsidRPr="00B845BA">
        <w:rPr>
          <w:szCs w:val="22"/>
        </w:rPr>
        <w:t xml:space="preserve">a Compliance Plan designed to ensure future compliance with the Communications Laws and with the terms and conditions of this Consent Decree.  With respect to Section 325(a) of the Act and Section 11.45 of the Commission’s rules, </w:t>
      </w:r>
      <w:r>
        <w:rPr>
          <w:szCs w:val="22"/>
        </w:rPr>
        <w:t>MMK</w:t>
      </w:r>
      <w:r w:rsidRPr="00B845BA">
        <w:rPr>
          <w:szCs w:val="22"/>
        </w:rPr>
        <w:t xml:space="preserve"> shall implement the following procedures: </w:t>
      </w:r>
    </w:p>
    <w:p w14:paraId="0BF9F56D" w14:textId="77777777" w:rsidR="00115BE4" w:rsidRPr="00B845BA" w:rsidRDefault="00115BE4" w:rsidP="00115BE4">
      <w:pPr>
        <w:pStyle w:val="ParaNum"/>
        <w:numPr>
          <w:ilvl w:val="0"/>
          <w:numId w:val="0"/>
        </w:numPr>
        <w:ind w:left="2160" w:hanging="720"/>
        <w:rPr>
          <w:szCs w:val="22"/>
        </w:rPr>
      </w:pPr>
      <w:r w:rsidRPr="00B845BA">
        <w:rPr>
          <w:szCs w:val="22"/>
        </w:rPr>
        <w:t>(a)</w:t>
      </w:r>
      <w:r w:rsidRPr="00B845BA">
        <w:rPr>
          <w:szCs w:val="22"/>
        </w:rPr>
        <w:tab/>
      </w:r>
      <w:r w:rsidRPr="00B845BA">
        <w:rPr>
          <w:b/>
          <w:szCs w:val="22"/>
          <w:u w:val="single"/>
        </w:rPr>
        <w:t>Operating Procedures for Compliance with Section 325(a) of the Act and Section 11.45 of the Commission’s rules</w:t>
      </w:r>
      <w:r w:rsidRPr="00B845BA">
        <w:rPr>
          <w:szCs w:val="22"/>
        </w:rPr>
        <w:t xml:space="preserve">.  Within sixty (60) calendar days after the Effective Date, </w:t>
      </w:r>
      <w:r>
        <w:rPr>
          <w:szCs w:val="22"/>
        </w:rPr>
        <w:t>MMK</w:t>
      </w:r>
      <w:r w:rsidRPr="00B845BA">
        <w:rPr>
          <w:szCs w:val="22"/>
        </w:rPr>
        <w:t xml:space="preserve"> shall establish Operating Procedures that all Covered Employees must follow to help ensure MMK</w:t>
      </w:r>
      <w:r>
        <w:rPr>
          <w:szCs w:val="22"/>
        </w:rPr>
        <w:t xml:space="preserve">’s </w:t>
      </w:r>
      <w:r w:rsidRPr="00B845BA">
        <w:rPr>
          <w:szCs w:val="22"/>
        </w:rPr>
        <w:t xml:space="preserve">compliance with Section 325(a) of the Act and Section 11.45 of the Commission’s rules.  MMK’s Operating Procedures shall include internal procedures and policies specifically designed to ensure that </w:t>
      </w:r>
      <w:r>
        <w:rPr>
          <w:szCs w:val="22"/>
        </w:rPr>
        <w:t>MMK</w:t>
      </w:r>
      <w:r w:rsidRPr="00B845BA">
        <w:rPr>
          <w:szCs w:val="22"/>
        </w:rPr>
        <w:t xml:space="preserve"> does not </w:t>
      </w:r>
      <w:r>
        <w:rPr>
          <w:szCs w:val="22"/>
        </w:rPr>
        <w:t>b</w:t>
      </w:r>
      <w:r w:rsidRPr="00B845BA">
        <w:rPr>
          <w:szCs w:val="22"/>
        </w:rPr>
        <w:t xml:space="preserve">roadcast </w:t>
      </w:r>
      <w:r>
        <w:rPr>
          <w:szCs w:val="22"/>
        </w:rPr>
        <w:t xml:space="preserve">the EAS Attention Signal or </w:t>
      </w:r>
      <w:r w:rsidRPr="00B845BA">
        <w:rPr>
          <w:szCs w:val="22"/>
        </w:rPr>
        <w:t>EAS tones</w:t>
      </w:r>
      <w:r>
        <w:rPr>
          <w:szCs w:val="22"/>
        </w:rPr>
        <w:t>, or a simulation thereof,</w:t>
      </w:r>
      <w:r w:rsidRPr="00B845BA">
        <w:rPr>
          <w:szCs w:val="22"/>
        </w:rPr>
        <w:t xml:space="preserve"> absent an emergency or authorized EAS test.  </w:t>
      </w:r>
      <w:r>
        <w:rPr>
          <w:szCs w:val="22"/>
        </w:rPr>
        <w:t>MMK</w:t>
      </w:r>
      <w:r w:rsidRPr="00B845BA">
        <w:rPr>
          <w:szCs w:val="22"/>
        </w:rPr>
        <w:t xml:space="preserve"> also shall develop a Compliance Checklist that describes the steps that a Covered Employee must follow to ensure that </w:t>
      </w:r>
      <w:r>
        <w:rPr>
          <w:szCs w:val="22"/>
        </w:rPr>
        <w:t xml:space="preserve">the </w:t>
      </w:r>
      <w:r w:rsidRPr="00B845BA">
        <w:rPr>
          <w:szCs w:val="22"/>
        </w:rPr>
        <w:t xml:space="preserve">Station will not be in violation of the Communications Laws regarding </w:t>
      </w:r>
      <w:r>
        <w:rPr>
          <w:szCs w:val="22"/>
        </w:rPr>
        <w:t xml:space="preserve">broadcast of the EAS Attention Signal or </w:t>
      </w:r>
      <w:r w:rsidRPr="00B845BA">
        <w:rPr>
          <w:szCs w:val="22"/>
        </w:rPr>
        <w:t>EAS tone</w:t>
      </w:r>
      <w:r>
        <w:rPr>
          <w:szCs w:val="22"/>
        </w:rPr>
        <w:t>s or simulations thereof</w:t>
      </w:r>
      <w:r w:rsidRPr="00B845BA">
        <w:rPr>
          <w:szCs w:val="22"/>
        </w:rPr>
        <w:t>.  At a minimum, the Compliance Checklist shall require at all times that at least two station employees, one of w</w:t>
      </w:r>
      <w:r>
        <w:rPr>
          <w:szCs w:val="22"/>
        </w:rPr>
        <w:t>hom</w:t>
      </w:r>
      <w:r w:rsidRPr="00B845BA">
        <w:rPr>
          <w:szCs w:val="22"/>
        </w:rPr>
        <w:t xml:space="preserve"> shall be a management-level employee, be involved in all aspects of all programming and commercials </w:t>
      </w:r>
      <w:r>
        <w:rPr>
          <w:szCs w:val="22"/>
        </w:rPr>
        <w:t>that</w:t>
      </w:r>
      <w:r w:rsidRPr="00B845BA">
        <w:rPr>
          <w:szCs w:val="22"/>
        </w:rPr>
        <w:t xml:space="preserve"> might contain the</w:t>
      </w:r>
      <w:r>
        <w:rPr>
          <w:szCs w:val="22"/>
        </w:rPr>
        <w:t xml:space="preserve"> broadcast of the EAS Attention Signal or </w:t>
      </w:r>
      <w:r w:rsidRPr="00B845BA">
        <w:rPr>
          <w:szCs w:val="22"/>
        </w:rPr>
        <w:t>EAS tone</w:t>
      </w:r>
      <w:r>
        <w:rPr>
          <w:szCs w:val="22"/>
        </w:rPr>
        <w:t>s or simulations thereof</w:t>
      </w:r>
      <w:r w:rsidRPr="00B845BA">
        <w:rPr>
          <w:szCs w:val="22"/>
        </w:rPr>
        <w:t>.</w:t>
      </w:r>
    </w:p>
    <w:p w14:paraId="0F490E0C" w14:textId="77777777" w:rsidR="00115BE4" w:rsidRPr="00B845BA" w:rsidRDefault="00115BE4" w:rsidP="00115BE4">
      <w:pPr>
        <w:pStyle w:val="ParaNum"/>
        <w:numPr>
          <w:ilvl w:val="0"/>
          <w:numId w:val="0"/>
        </w:numPr>
        <w:ind w:left="2160" w:hanging="720"/>
        <w:rPr>
          <w:szCs w:val="22"/>
        </w:rPr>
      </w:pPr>
      <w:r w:rsidRPr="00B845BA">
        <w:rPr>
          <w:szCs w:val="22"/>
        </w:rPr>
        <w:t>(b)</w:t>
      </w:r>
      <w:r w:rsidRPr="00B845BA">
        <w:rPr>
          <w:szCs w:val="22"/>
        </w:rPr>
        <w:tab/>
      </w:r>
      <w:r w:rsidRPr="00B845BA">
        <w:rPr>
          <w:b/>
          <w:szCs w:val="22"/>
          <w:u w:val="single"/>
        </w:rPr>
        <w:t>Compliance Manual</w:t>
      </w:r>
      <w:r w:rsidRPr="00B845BA">
        <w:rPr>
          <w:szCs w:val="22"/>
        </w:rPr>
        <w:t xml:space="preserve">.  Within sixty (60) calendar days after the Effective Date, the Compliance Officer shall develop and distribute a Compliance Manual to all Covered Employees.  The Compliance Manual shall </w:t>
      </w:r>
      <w:r>
        <w:rPr>
          <w:szCs w:val="22"/>
        </w:rPr>
        <w:t xml:space="preserve">explain </w:t>
      </w:r>
      <w:r w:rsidRPr="00B845BA">
        <w:rPr>
          <w:szCs w:val="22"/>
        </w:rPr>
        <w:t xml:space="preserve">Section 325(a) of the Act and Section 11.45 of the Commission’s rules, and set forth the Operating Procedures that Covered Employees shall follow to help ensure </w:t>
      </w:r>
      <w:r>
        <w:rPr>
          <w:szCs w:val="22"/>
        </w:rPr>
        <w:t>MMK’</w:t>
      </w:r>
      <w:r w:rsidRPr="00B845BA">
        <w:rPr>
          <w:szCs w:val="22"/>
        </w:rPr>
        <w:t xml:space="preserve">s compliance with the Communications Laws.  </w:t>
      </w:r>
      <w:r>
        <w:rPr>
          <w:szCs w:val="22"/>
        </w:rPr>
        <w:t>MMK</w:t>
      </w:r>
      <w:r w:rsidRPr="00B845BA">
        <w:rPr>
          <w:szCs w:val="22"/>
        </w:rPr>
        <w:t xml:space="preserve"> shall periodically review and revise the Compliance Manual as necessary to ensure that the information set forth therein remains current and complete.  </w:t>
      </w:r>
      <w:r>
        <w:rPr>
          <w:szCs w:val="22"/>
        </w:rPr>
        <w:t>MMK</w:t>
      </w:r>
      <w:r w:rsidRPr="00B845BA">
        <w:rPr>
          <w:szCs w:val="22"/>
        </w:rPr>
        <w:t xml:space="preserve"> shall distribute any revisions to the Compliance Manual promptly to all Covered Employees.</w:t>
      </w:r>
    </w:p>
    <w:p w14:paraId="00ACA5B9" w14:textId="77777777" w:rsidR="00115BE4" w:rsidRPr="00B845BA" w:rsidRDefault="00115BE4" w:rsidP="00115BE4">
      <w:pPr>
        <w:pStyle w:val="ParaNum"/>
        <w:widowControl/>
        <w:numPr>
          <w:ilvl w:val="0"/>
          <w:numId w:val="0"/>
        </w:numPr>
        <w:ind w:left="2160" w:hanging="720"/>
        <w:rPr>
          <w:szCs w:val="22"/>
        </w:rPr>
      </w:pPr>
      <w:r w:rsidRPr="00B845BA">
        <w:rPr>
          <w:szCs w:val="22"/>
        </w:rPr>
        <w:t>(c)</w:t>
      </w:r>
      <w:r w:rsidRPr="00B845BA">
        <w:rPr>
          <w:szCs w:val="22"/>
        </w:rPr>
        <w:tab/>
      </w:r>
      <w:r w:rsidRPr="00B845BA">
        <w:rPr>
          <w:b/>
          <w:szCs w:val="22"/>
          <w:u w:val="single"/>
        </w:rPr>
        <w:t>Compliance Training Program</w:t>
      </w:r>
      <w:r w:rsidRPr="00B845BA">
        <w:rPr>
          <w:szCs w:val="22"/>
        </w:rPr>
        <w:t xml:space="preserve">.  </w:t>
      </w:r>
      <w:r>
        <w:rPr>
          <w:szCs w:val="22"/>
        </w:rPr>
        <w:t>MMK</w:t>
      </w:r>
      <w:r w:rsidRPr="00B845BA">
        <w:rPr>
          <w:szCs w:val="22"/>
        </w:rPr>
        <w:t xml:space="preserve"> shall establish and implement a Compliance Training Program on compliance with Section 325(a) of the Act and Section 11.45 of the Commission’s rules, and the Operating Procedures.  As part of the Compliance Training Program, Covered Employees shall be advised of </w:t>
      </w:r>
      <w:r w:rsidRPr="00D43595">
        <w:t xml:space="preserve">MMK’s </w:t>
      </w:r>
      <w:r w:rsidRPr="00C55F72">
        <w:rPr>
          <w:szCs w:val="22"/>
        </w:rPr>
        <w:t>obligation</w:t>
      </w:r>
      <w:r w:rsidRPr="00B845BA">
        <w:rPr>
          <w:szCs w:val="22"/>
        </w:rPr>
        <w:t xml:space="preserve"> to report any noncompliance</w:t>
      </w:r>
      <w:r>
        <w:rPr>
          <w:szCs w:val="22"/>
        </w:rPr>
        <w:t xml:space="preserve"> with</w:t>
      </w:r>
      <w:r w:rsidRPr="00B845BA">
        <w:rPr>
          <w:szCs w:val="22"/>
        </w:rPr>
        <w:t xml:space="preserve"> Section 325(a) of the Act and Section 11.45 of the Commission’s rules under paragraph 1</w:t>
      </w:r>
      <w:r>
        <w:rPr>
          <w:szCs w:val="22"/>
        </w:rPr>
        <w:t>2</w:t>
      </w:r>
      <w:r w:rsidRPr="00B845BA">
        <w:rPr>
          <w:szCs w:val="22"/>
        </w:rPr>
        <w:t xml:space="preserve"> of this Consent Decree and shall be instructed on how to disclose noncompliance to the Compliance Officer.  All Covered Employees shall be trained pursuant to the Compliance Training Program within ninety (90) calendar days after the Effective Date,</w:t>
      </w:r>
      <w:r w:rsidRPr="00B845BA">
        <w:rPr>
          <w:b/>
          <w:szCs w:val="22"/>
        </w:rPr>
        <w:t xml:space="preserve"> </w:t>
      </w:r>
      <w:r w:rsidRPr="00B845BA">
        <w:rPr>
          <w:szCs w:val="22"/>
        </w:rPr>
        <w:t xml:space="preserve">except that any person who becomes a Covered Employee at any time after the Effective Date shall be trained within thirty (30) calendar days after the date such person becomes a Covered Employee.  </w:t>
      </w:r>
      <w:r>
        <w:rPr>
          <w:szCs w:val="22"/>
        </w:rPr>
        <w:t>MMK</w:t>
      </w:r>
      <w:r w:rsidRPr="00B845BA">
        <w:rPr>
          <w:szCs w:val="22"/>
        </w:rPr>
        <w:t xml:space="preserve"> shall repeat the compliance training on an annual basis, and shall periodically review and revise the Compliance Training Program as necessary to ensure that it remains current and complete and to enhance its effectiveness.</w:t>
      </w:r>
    </w:p>
    <w:p w14:paraId="7A5E68FE" w14:textId="77777777" w:rsidR="00115BE4" w:rsidRPr="00051646" w:rsidRDefault="00115BE4" w:rsidP="00115BE4">
      <w:pPr>
        <w:pStyle w:val="ParaNum"/>
        <w:widowControl/>
        <w:numPr>
          <w:ilvl w:val="0"/>
          <w:numId w:val="0"/>
        </w:numPr>
        <w:ind w:left="2160" w:hanging="720"/>
        <w:rPr>
          <w:szCs w:val="22"/>
        </w:rPr>
      </w:pPr>
      <w:r w:rsidRPr="00B845BA">
        <w:rPr>
          <w:szCs w:val="22"/>
        </w:rPr>
        <w:t>(d)</w:t>
      </w:r>
      <w:r w:rsidRPr="00B845BA">
        <w:rPr>
          <w:szCs w:val="22"/>
        </w:rPr>
        <w:tab/>
      </w:r>
      <w:r w:rsidRPr="00B845BA">
        <w:rPr>
          <w:b/>
          <w:szCs w:val="22"/>
          <w:u w:val="single"/>
        </w:rPr>
        <w:t>EAS Public Education Program</w:t>
      </w:r>
      <w:r w:rsidRPr="00B845BA">
        <w:rPr>
          <w:szCs w:val="22"/>
        </w:rPr>
        <w:t xml:space="preserve">.  </w:t>
      </w:r>
      <w:r>
        <w:rPr>
          <w:szCs w:val="22"/>
        </w:rPr>
        <w:t>Within sixty (60) calendar days</w:t>
      </w:r>
      <w:r w:rsidRPr="00B845BA">
        <w:rPr>
          <w:szCs w:val="22"/>
        </w:rPr>
        <w:t xml:space="preserve">, </w:t>
      </w:r>
      <w:r>
        <w:rPr>
          <w:szCs w:val="22"/>
        </w:rPr>
        <w:t>MMK</w:t>
      </w:r>
      <w:r w:rsidRPr="00B845BA">
        <w:rPr>
          <w:szCs w:val="22"/>
        </w:rPr>
        <w:t xml:space="preserve"> shall develop </w:t>
      </w:r>
      <w:r>
        <w:rPr>
          <w:szCs w:val="22"/>
        </w:rPr>
        <w:t xml:space="preserve">and put into effect </w:t>
      </w:r>
      <w:r w:rsidRPr="00B845BA">
        <w:rPr>
          <w:szCs w:val="22"/>
        </w:rPr>
        <w:t>a p</w:t>
      </w:r>
      <w:r>
        <w:rPr>
          <w:szCs w:val="22"/>
        </w:rPr>
        <w:t xml:space="preserve">rogram </w:t>
      </w:r>
      <w:r w:rsidRPr="00B845BA">
        <w:rPr>
          <w:szCs w:val="22"/>
        </w:rPr>
        <w:t>to educate members of the public</w:t>
      </w:r>
      <w:r>
        <w:rPr>
          <w:szCs w:val="22"/>
        </w:rPr>
        <w:t xml:space="preserve"> about the </w:t>
      </w:r>
      <w:r w:rsidRPr="00FF79FC">
        <w:rPr>
          <w:szCs w:val="22"/>
        </w:rPr>
        <w:t>EAS alerts, the limits of public warning capabilities, and appropriate responses to emergency warning messages</w:t>
      </w:r>
      <w:r>
        <w:rPr>
          <w:szCs w:val="22"/>
        </w:rPr>
        <w:t>.  Such public education program shall include the elements described in Attachment A hereto.</w:t>
      </w:r>
      <w:r w:rsidRPr="00051646">
        <w:rPr>
          <w:szCs w:val="22"/>
        </w:rPr>
        <w:tab/>
        <w:t xml:space="preserve"> </w:t>
      </w:r>
    </w:p>
    <w:p w14:paraId="12EEE0B9" w14:textId="50B1A4A3"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Reporting Noncompliance</w:t>
      </w:r>
      <w:r w:rsidRPr="00B845BA">
        <w:rPr>
          <w:szCs w:val="22"/>
        </w:rPr>
        <w:t xml:space="preserve">.  </w:t>
      </w:r>
      <w:r>
        <w:rPr>
          <w:szCs w:val="22"/>
        </w:rPr>
        <w:t>MMK</w:t>
      </w:r>
      <w:r w:rsidRPr="00B845BA">
        <w:rPr>
          <w:szCs w:val="22"/>
        </w:rPr>
        <w:t xml:space="preserve"> shall report any instance of noncompliance with Section 325(a) of the Act and Section 11.45 of the Commission’s rules, and with the terms and conditions of this Consent Decree within thirty (30) calendar days after discovery of such noncompliance.  Such reports shall include a detailed explanation of (i) each instance of noncompliance; (ii) the steps that </w:t>
      </w:r>
      <w:r>
        <w:rPr>
          <w:szCs w:val="22"/>
        </w:rPr>
        <w:t>MMK</w:t>
      </w:r>
      <w:r w:rsidRPr="00B845BA">
        <w:rPr>
          <w:szCs w:val="22"/>
        </w:rPr>
        <w:t xml:space="preserve"> has taken or will take to remedy such noncompliance; (iii) the schedule on which such remedial actions will be taken; and (iv) the steps that </w:t>
      </w:r>
      <w:r>
        <w:rPr>
          <w:szCs w:val="22"/>
        </w:rPr>
        <w:t>MMK</w:t>
      </w:r>
      <w:r w:rsidRPr="00B845BA">
        <w:rPr>
          <w:szCs w:val="22"/>
        </w:rPr>
        <w:t xml:space="preserve">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Theresa Z. Cavanaugh at </w:t>
      </w:r>
      <w:r w:rsidRPr="001E4CA0">
        <w:rPr>
          <w:szCs w:val="22"/>
        </w:rPr>
        <w:t>Terry.Cavanaugh@fcc.gov</w:t>
      </w:r>
      <w:r w:rsidRPr="00B845BA">
        <w:rPr>
          <w:szCs w:val="22"/>
        </w:rPr>
        <w:t xml:space="preserve">, Jeffrey J. Gee at </w:t>
      </w:r>
      <w:r w:rsidRPr="001E4CA0">
        <w:rPr>
          <w:szCs w:val="22"/>
        </w:rPr>
        <w:t>Jeffrey.Gee@fcc.gov</w:t>
      </w:r>
      <w:r w:rsidR="00CA3A51">
        <w:rPr>
          <w:szCs w:val="22"/>
        </w:rPr>
        <w:t xml:space="preserve">, </w:t>
      </w:r>
      <w:r w:rsidRPr="00B845BA">
        <w:rPr>
          <w:szCs w:val="22"/>
        </w:rPr>
        <w:t xml:space="preserve">Kenneth M. Scheibel, Jr. at </w:t>
      </w:r>
      <w:r w:rsidRPr="001E4CA0">
        <w:rPr>
          <w:szCs w:val="22"/>
        </w:rPr>
        <w:t>Kenneth.Scheibel@fcc.gov</w:t>
      </w:r>
      <w:r w:rsidRPr="00B845BA">
        <w:rPr>
          <w:szCs w:val="22"/>
        </w:rPr>
        <w:t xml:space="preserve">, and to Jennifer A. Lewis at </w:t>
      </w:r>
      <w:r w:rsidRPr="001E4CA0">
        <w:rPr>
          <w:szCs w:val="22"/>
        </w:rPr>
        <w:t>Jennifer.Lewis@fcc.gov</w:t>
      </w:r>
      <w:r w:rsidRPr="00B845BA">
        <w:rPr>
          <w:szCs w:val="22"/>
        </w:rPr>
        <w:t xml:space="preserve">.  The reporting obligations set forth in this paragraph 12 shall expire thirty-six (36) months after the Effective Date.  </w:t>
      </w:r>
    </w:p>
    <w:p w14:paraId="712FCF3A"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Compliance Reports</w:t>
      </w:r>
      <w:r w:rsidRPr="00B845BA">
        <w:rPr>
          <w:szCs w:val="22"/>
        </w:rPr>
        <w:t xml:space="preserve">.  </w:t>
      </w:r>
      <w:r>
        <w:rPr>
          <w:szCs w:val="22"/>
        </w:rPr>
        <w:t>MMK</w:t>
      </w:r>
      <w:r w:rsidRPr="00B845BA">
        <w:rPr>
          <w:szCs w:val="22"/>
        </w:rPr>
        <w:t xml:space="preserve"> shall file Compliance Reports with the Commission ninety (90) days after the Effective Date, twelve (12) months after the Effective Date, twenty-four (24) months after the Effective Date, and thirty-six (36) months after the Effective Date.</w:t>
      </w:r>
    </w:p>
    <w:p w14:paraId="522DE2D9" w14:textId="5E7AB0B4" w:rsidR="00115BE4" w:rsidRPr="00B845BA" w:rsidRDefault="00115BE4" w:rsidP="00115BE4">
      <w:pPr>
        <w:pStyle w:val="ParaNum"/>
        <w:numPr>
          <w:ilvl w:val="0"/>
          <w:numId w:val="0"/>
        </w:numPr>
        <w:ind w:left="2160" w:hanging="720"/>
        <w:rPr>
          <w:szCs w:val="22"/>
        </w:rPr>
      </w:pPr>
      <w:r w:rsidRPr="00B845BA">
        <w:rPr>
          <w:szCs w:val="22"/>
        </w:rPr>
        <w:t>(a)</w:t>
      </w:r>
      <w:r w:rsidRPr="00B845BA">
        <w:rPr>
          <w:szCs w:val="22"/>
        </w:rPr>
        <w:tab/>
        <w:t xml:space="preserve">Each Compliance Report shall include a detailed description of </w:t>
      </w:r>
      <w:r>
        <w:rPr>
          <w:szCs w:val="22"/>
        </w:rPr>
        <w:t>MMK</w:t>
      </w:r>
      <w:r w:rsidRPr="00B845BA">
        <w:rPr>
          <w:szCs w:val="22"/>
        </w:rPr>
        <w:t xml:space="preserve">’s efforts during the relevant period to comply with the terms and conditions of this Consent Decree and Section 325(a) of the Act and Section 11.45 of the Commission’s rules.  In addition, each Compliance Report shall include a certification by the Compliance Officer, as an agent of and on behalf of </w:t>
      </w:r>
      <w:r>
        <w:rPr>
          <w:szCs w:val="22"/>
        </w:rPr>
        <w:t>MMK</w:t>
      </w:r>
      <w:r w:rsidRPr="00B845BA">
        <w:rPr>
          <w:szCs w:val="22"/>
        </w:rPr>
        <w:t>, stating that the Compliance Officer</w:t>
      </w:r>
      <w:r w:rsidR="00CA3A51">
        <w:rPr>
          <w:szCs w:val="22"/>
        </w:rPr>
        <w:t xml:space="preserve"> has personal knowledge that:  </w:t>
      </w:r>
      <w:r w:rsidRPr="00B845BA">
        <w:rPr>
          <w:szCs w:val="22"/>
        </w:rPr>
        <w:t xml:space="preserve">(i) </w:t>
      </w:r>
      <w:r>
        <w:rPr>
          <w:szCs w:val="22"/>
        </w:rPr>
        <w:t>MMK</w:t>
      </w:r>
      <w:r w:rsidRPr="00B845BA">
        <w:rPr>
          <w:szCs w:val="22"/>
        </w:rPr>
        <w:t xml:space="preserve"> has established and implemented Operating Procedures intended to ensure compliance with the terms and conditions of this Consent Decree and with Section 325(a) of the Act and Section 11.45 of the Commission’s rules, together with an accompanying statement explaining the basis for the certification; (ii) has utilized the Operating Procedures since the implementation of the Compliance Plan; and (iii) is not aware of any instances of noncompliance with the terms and conditions of this Consent Decree, including the reporting obligations set forth in paragraph 12 hereof.  </w:t>
      </w:r>
    </w:p>
    <w:p w14:paraId="4564858F" w14:textId="77777777" w:rsidR="00115BE4" w:rsidRPr="00B845BA" w:rsidRDefault="00115BE4" w:rsidP="00115BE4">
      <w:pPr>
        <w:pStyle w:val="ParaNum"/>
        <w:numPr>
          <w:ilvl w:val="0"/>
          <w:numId w:val="0"/>
        </w:numPr>
        <w:ind w:left="2160" w:hanging="720"/>
        <w:rPr>
          <w:szCs w:val="22"/>
        </w:rPr>
      </w:pPr>
      <w:r w:rsidRPr="00B845BA">
        <w:rPr>
          <w:szCs w:val="22"/>
        </w:rPr>
        <w:t>(b)</w:t>
      </w:r>
      <w:r w:rsidRPr="00B845BA">
        <w:rPr>
          <w:szCs w:val="22"/>
        </w:rPr>
        <w:tab/>
        <w:t>The Compliance Officer’s certification shall be accompanied by a statement explaining the basis for such certification and must comply with Section 1.16 of the Commission’s rules</w:t>
      </w:r>
      <w:r w:rsidRPr="00B845BA">
        <w:rPr>
          <w:rStyle w:val="FootnoteReference"/>
          <w:sz w:val="22"/>
          <w:szCs w:val="22"/>
        </w:rPr>
        <w:footnoteReference w:id="13"/>
      </w:r>
      <w:r w:rsidRPr="00B845BA">
        <w:rPr>
          <w:szCs w:val="22"/>
        </w:rPr>
        <w:t xml:space="preserve"> and be subscribed to as true under penalty of perjury in substantially the form set forth therein.  </w:t>
      </w:r>
    </w:p>
    <w:p w14:paraId="3C6499EA" w14:textId="77777777" w:rsidR="00115BE4" w:rsidRPr="00B845BA" w:rsidRDefault="00115BE4" w:rsidP="00115BE4">
      <w:pPr>
        <w:pStyle w:val="ParaNum"/>
        <w:numPr>
          <w:ilvl w:val="0"/>
          <w:numId w:val="0"/>
        </w:numPr>
        <w:ind w:left="2160" w:hanging="720"/>
        <w:rPr>
          <w:szCs w:val="22"/>
        </w:rPr>
      </w:pPr>
      <w:r w:rsidRPr="00B845BA">
        <w:rPr>
          <w:szCs w:val="22"/>
        </w:rPr>
        <w:t>(c)</w:t>
      </w:r>
      <w:r w:rsidRPr="00B845BA">
        <w:rPr>
          <w:szCs w:val="22"/>
        </w:rPr>
        <w:tab/>
        <w:t xml:space="preserve">If the Compliance Officer cannot provide the requisite certification, the Compliance Officer, as an agent of and on behalf of </w:t>
      </w:r>
      <w:r>
        <w:rPr>
          <w:szCs w:val="22"/>
        </w:rPr>
        <w:t>MMK</w:t>
      </w:r>
      <w:r w:rsidRPr="00B845BA">
        <w:rPr>
          <w:szCs w:val="22"/>
        </w:rPr>
        <w:t xml:space="preserve">, shall provide the Commission with a detailed explanation of the reason(s) why and describe fully:  (i) any instances of noncompliance with this Consent Decree and the Rules, and (ii) the steps that </w:t>
      </w:r>
      <w:r>
        <w:rPr>
          <w:szCs w:val="22"/>
        </w:rPr>
        <w:t>MMK</w:t>
      </w:r>
      <w:r w:rsidRPr="00B845BA">
        <w:rPr>
          <w:szCs w:val="22"/>
        </w:rPr>
        <w:t xml:space="preserve"> has taken or will take to remedy each instance of noncompliance and ensure future compliance, and the schedule on which proposed remedial action will be taken; and (iii) the steps that </w:t>
      </w:r>
      <w:r>
        <w:rPr>
          <w:szCs w:val="22"/>
        </w:rPr>
        <w:t>MMK</w:t>
      </w:r>
      <w:r w:rsidRPr="00B845BA">
        <w:rPr>
          <w:szCs w:val="22"/>
        </w:rPr>
        <w:t xml:space="preserve"> has taken or will take to prevent the recurrence of any such noncompliance, including the schedule on which such preventive action will be taken.</w:t>
      </w:r>
    </w:p>
    <w:p w14:paraId="7A716D1D" w14:textId="77777777" w:rsidR="00115BE4" w:rsidRPr="00B845BA" w:rsidRDefault="00115BE4" w:rsidP="00115BE4">
      <w:pPr>
        <w:pStyle w:val="ParaNum"/>
        <w:widowControl/>
        <w:numPr>
          <w:ilvl w:val="0"/>
          <w:numId w:val="0"/>
        </w:numPr>
        <w:ind w:left="2160" w:hanging="720"/>
        <w:rPr>
          <w:szCs w:val="22"/>
        </w:rPr>
      </w:pPr>
      <w:r w:rsidRPr="00B845BA">
        <w:rPr>
          <w:szCs w:val="22"/>
        </w:rPr>
        <w:t>(d)</w:t>
      </w:r>
      <w:r w:rsidRPr="00B845BA">
        <w:rPr>
          <w:szCs w:val="22"/>
        </w:rPr>
        <w:tab/>
        <w:t xml:space="preserve">All Compliance Reports shall be submitted to the Chief, Investigations and Hearings Division, Enforcement Bureau, Federal Communications Commission, Room 4-C330, 445 12th Street, S.W., Washington, D.C. 20554, with a copy submitted electronically to Theresa Z. Cavanaugh at </w:t>
      </w:r>
      <w:r w:rsidRPr="001E4CA0">
        <w:rPr>
          <w:szCs w:val="22"/>
        </w:rPr>
        <w:t>Terry.Cavanaugh@fcc.gov</w:t>
      </w:r>
      <w:r w:rsidRPr="00B845BA">
        <w:rPr>
          <w:szCs w:val="22"/>
        </w:rPr>
        <w:t xml:space="preserve">, Jeffrey J. Gee at </w:t>
      </w:r>
      <w:r w:rsidRPr="001E4CA0">
        <w:rPr>
          <w:szCs w:val="22"/>
        </w:rPr>
        <w:t>Jeffrey.Gee@fcc.gov</w:t>
      </w:r>
      <w:r w:rsidRPr="00B845BA">
        <w:rPr>
          <w:szCs w:val="22"/>
        </w:rPr>
        <w:t xml:space="preserve">, Kenneth M. Scheibel, Jr. at </w:t>
      </w:r>
      <w:r w:rsidRPr="001E4CA0">
        <w:rPr>
          <w:szCs w:val="22"/>
        </w:rPr>
        <w:t>Kenneth.Scheibel@fcc.gov</w:t>
      </w:r>
      <w:r w:rsidRPr="00B845BA">
        <w:rPr>
          <w:szCs w:val="22"/>
        </w:rPr>
        <w:t xml:space="preserve">, and Jennifer A. Lewis at Jennifer.Lewis@fcc.gov.   </w:t>
      </w:r>
    </w:p>
    <w:p w14:paraId="6C73D9D5"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Termination Date</w:t>
      </w:r>
      <w:r w:rsidRPr="00B845BA">
        <w:rPr>
          <w:szCs w:val="22"/>
        </w:rPr>
        <w:t>.  Unless stated otherwise,</w:t>
      </w:r>
      <w:r w:rsidRPr="00B845BA">
        <w:rPr>
          <w:b/>
          <w:szCs w:val="22"/>
        </w:rPr>
        <w:t xml:space="preserve"> </w:t>
      </w:r>
      <w:r w:rsidRPr="00B845BA">
        <w:rPr>
          <w:szCs w:val="22"/>
        </w:rPr>
        <w:t>the requirements set forth in paragraphs 9 through 1</w:t>
      </w:r>
      <w:r>
        <w:rPr>
          <w:szCs w:val="22"/>
        </w:rPr>
        <w:t xml:space="preserve">3 </w:t>
      </w:r>
      <w:r w:rsidRPr="00B845BA">
        <w:rPr>
          <w:szCs w:val="22"/>
        </w:rPr>
        <w:t xml:space="preserve">of this Consent Decree shall expire thirty-six (36) months after the Effective Date.  </w:t>
      </w:r>
    </w:p>
    <w:p w14:paraId="3378BA97" w14:textId="77777777" w:rsidR="00115BE4" w:rsidRPr="00B845BA" w:rsidRDefault="00115BE4" w:rsidP="00115BE4">
      <w:pPr>
        <w:pStyle w:val="par1"/>
        <w:numPr>
          <w:ilvl w:val="0"/>
          <w:numId w:val="2"/>
        </w:numPr>
        <w:tabs>
          <w:tab w:val="clear" w:pos="1260"/>
          <w:tab w:val="num" w:pos="1440"/>
        </w:tabs>
        <w:spacing w:after="120"/>
        <w:ind w:left="0"/>
        <w:rPr>
          <w:rFonts w:eastAsia="MS Mincho"/>
          <w:szCs w:val="22"/>
        </w:rPr>
      </w:pPr>
      <w:r w:rsidRPr="00B845BA">
        <w:rPr>
          <w:b/>
          <w:szCs w:val="22"/>
          <w:u w:val="single"/>
        </w:rPr>
        <w:t>Subsequent Investigations</w:t>
      </w:r>
      <w:r w:rsidRPr="00B845BA">
        <w:rPr>
          <w:szCs w:val="22"/>
        </w:rPr>
        <w:t xml:space="preserve">.   Nothing in this Consent Decree shall prevent the Commission or its delegated authority from adjudicating complaints filed pursuant to Section 325(a) of the Act or Section 11.45 of the Commission’s rules against </w:t>
      </w:r>
      <w:r>
        <w:rPr>
          <w:szCs w:val="22"/>
        </w:rPr>
        <w:t>MMK</w:t>
      </w:r>
      <w:r w:rsidRPr="00B845BA">
        <w:rPr>
          <w:szCs w:val="22"/>
        </w:rPr>
        <w:t xml:space="preserve"> or its affiliates for alleged violations of the Act or the Commission’s rules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w:t>
      </w:r>
      <w:r>
        <w:rPr>
          <w:szCs w:val="22"/>
        </w:rPr>
        <w:t xml:space="preserve">MMK’s </w:t>
      </w:r>
      <w:r w:rsidRPr="00B845BA">
        <w:rPr>
          <w:szCs w:val="22"/>
        </w:rPr>
        <w:t xml:space="preserve">noncompliance with the Communications Laws.  </w:t>
      </w:r>
    </w:p>
    <w:p w14:paraId="399AF039" w14:textId="77777777" w:rsidR="00115BE4" w:rsidRPr="009837B8" w:rsidRDefault="00115BE4" w:rsidP="00115BE4">
      <w:pPr>
        <w:pStyle w:val="par1"/>
        <w:numPr>
          <w:ilvl w:val="0"/>
          <w:numId w:val="2"/>
        </w:numPr>
        <w:tabs>
          <w:tab w:val="clear" w:pos="1260"/>
          <w:tab w:val="num" w:pos="1440"/>
        </w:tabs>
        <w:spacing w:after="120"/>
        <w:ind w:left="0"/>
        <w:rPr>
          <w:rFonts w:eastAsia="MS Mincho"/>
          <w:szCs w:val="22"/>
        </w:rPr>
      </w:pPr>
      <w:r w:rsidRPr="00B845BA">
        <w:rPr>
          <w:b/>
          <w:szCs w:val="22"/>
          <w:u w:val="single"/>
        </w:rPr>
        <w:t>Voluntary Contribution</w:t>
      </w:r>
      <w:r w:rsidRPr="00B845BA">
        <w:rPr>
          <w:szCs w:val="22"/>
        </w:rPr>
        <w:t xml:space="preserve">.  </w:t>
      </w:r>
      <w:r>
        <w:rPr>
          <w:szCs w:val="22"/>
        </w:rPr>
        <w:t>MMK</w:t>
      </w:r>
      <w:r w:rsidRPr="00B845BA">
        <w:rPr>
          <w:szCs w:val="22"/>
        </w:rPr>
        <w:t xml:space="preserve"> agrees </w:t>
      </w:r>
      <w:r w:rsidRPr="00B845BA">
        <w:rPr>
          <w:rFonts w:eastAsia="MS Mincho"/>
          <w:szCs w:val="22"/>
        </w:rPr>
        <w:t>that it will make a voluntary contribution to the United States Treasury in the amount of thirty-nine thousand dollars ($39,000) within thirty (30) calendar days after the Effective Date.  </w:t>
      </w:r>
      <w:r>
        <w:rPr>
          <w:szCs w:val="22"/>
        </w:rPr>
        <w:t>MMK</w:t>
      </w:r>
      <w:r w:rsidRPr="00B845BA">
        <w:rPr>
          <w:szCs w:val="22"/>
        </w:rPr>
        <w:t xml:space="preserve"> </w:t>
      </w:r>
      <w:r w:rsidRPr="00B845BA">
        <w:rPr>
          <w:rFonts w:eastAsia="MS Mincho"/>
          <w:szCs w:val="22"/>
        </w:rPr>
        <w:t xml:space="preserve">shall also send electronic notification of payment to Theresa Z. Cavanaugh at </w:t>
      </w:r>
      <w:r w:rsidRPr="001E4CA0">
        <w:rPr>
          <w:rFonts w:eastAsia="MS Mincho"/>
          <w:szCs w:val="22"/>
        </w:rPr>
        <w:t>Terry.Cavanaugh@fcc.gov</w:t>
      </w:r>
      <w:r w:rsidRPr="00B845BA">
        <w:rPr>
          <w:rFonts w:eastAsia="MS Mincho"/>
          <w:szCs w:val="22"/>
        </w:rPr>
        <w:t xml:space="preserve">, </w:t>
      </w:r>
      <w:r w:rsidRPr="00B845BA">
        <w:rPr>
          <w:szCs w:val="22"/>
        </w:rPr>
        <w:t xml:space="preserve">Jeffrey J. Gee at </w:t>
      </w:r>
      <w:r w:rsidRPr="001E4CA0">
        <w:rPr>
          <w:szCs w:val="22"/>
        </w:rPr>
        <w:t>Jeffrey.Gee@fcc.gov</w:t>
      </w:r>
      <w:r w:rsidRPr="00B845BA">
        <w:rPr>
          <w:szCs w:val="22"/>
        </w:rPr>
        <w:t xml:space="preserve">, Kenneth M. Scheibel, Jr. at </w:t>
      </w:r>
      <w:r w:rsidRPr="001E4CA0">
        <w:rPr>
          <w:szCs w:val="22"/>
        </w:rPr>
        <w:t>Kenneth.Scheibel@fcc.gov</w:t>
      </w:r>
      <w:r w:rsidRPr="00B845BA">
        <w:rPr>
          <w:szCs w:val="22"/>
        </w:rPr>
        <w:t xml:space="preserve">, and Jennifer A. Lewis at </w:t>
      </w:r>
      <w:r w:rsidRPr="001E4CA0">
        <w:rPr>
          <w:szCs w:val="22"/>
        </w:rPr>
        <w:t>Jennifer.Lewis@fcc.gov</w:t>
      </w:r>
      <w:r w:rsidRPr="00B845BA">
        <w:rPr>
          <w:szCs w:val="22"/>
        </w:rPr>
        <w:t xml:space="preserve"> </w:t>
      </w:r>
      <w:r w:rsidRPr="00B845BA">
        <w:rPr>
          <w:rFonts w:eastAsia="MS Mincho"/>
          <w:szCs w:val="22"/>
        </w:rPr>
        <w:t>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B845BA">
        <w:rPr>
          <w:rStyle w:val="FootnoteReference"/>
          <w:rFonts w:eastAsia="MS Mincho"/>
          <w:sz w:val="22"/>
          <w:szCs w:val="22"/>
        </w:rPr>
        <w:footnoteReference w:id="14"/>
      </w:r>
      <w:r w:rsidRPr="00B845BA">
        <w:rPr>
          <w:rFonts w:eastAsia="MS Mincho"/>
          <w:szCs w:val="22"/>
        </w:rPr>
        <w:t xml:space="preserve">  When completing the FCC Form 159, enter the Account Number in block number 23A (call sign/other ID) and enter the letters “FORF” in block number 24A (payment type code).   </w:t>
      </w:r>
      <w:r w:rsidRPr="00B845BA">
        <w:rPr>
          <w:color w:val="000000"/>
          <w:szCs w:val="22"/>
        </w:rPr>
        <w:t>Below are additional instructions you should follow based on the form of payment you select:</w:t>
      </w:r>
      <w:r w:rsidRPr="00B845BA">
        <w:rPr>
          <w:rStyle w:val="FootnoteReference"/>
          <w:color w:val="000000"/>
          <w:sz w:val="22"/>
          <w:szCs w:val="22"/>
        </w:rPr>
        <w:footnoteReference w:id="15"/>
      </w:r>
    </w:p>
    <w:p w14:paraId="4498E328" w14:textId="77777777" w:rsidR="009837B8" w:rsidRPr="00B845BA" w:rsidRDefault="009837B8" w:rsidP="009837B8">
      <w:pPr>
        <w:pStyle w:val="par1"/>
        <w:numPr>
          <w:ilvl w:val="0"/>
          <w:numId w:val="0"/>
        </w:numPr>
        <w:spacing w:after="120"/>
        <w:ind w:left="720"/>
        <w:rPr>
          <w:rFonts w:eastAsia="MS Mincho"/>
          <w:szCs w:val="22"/>
        </w:rPr>
      </w:pPr>
    </w:p>
    <w:p w14:paraId="07FE8B7C" w14:textId="77777777" w:rsidR="00115BE4" w:rsidRPr="00B845BA" w:rsidRDefault="00115BE4" w:rsidP="00115BE4">
      <w:pPr>
        <w:pStyle w:val="ParaNum"/>
        <w:numPr>
          <w:ilvl w:val="0"/>
          <w:numId w:val="11"/>
        </w:numPr>
        <w:rPr>
          <w:rFonts w:eastAsia="MS Mincho"/>
          <w:szCs w:val="22"/>
        </w:rPr>
      </w:pPr>
      <w:r w:rsidRPr="00B845BA">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B39C02E" w14:textId="77777777" w:rsidR="00115BE4" w:rsidRPr="00B845BA" w:rsidRDefault="00115BE4" w:rsidP="00115BE4">
      <w:pPr>
        <w:pStyle w:val="ParaNum"/>
        <w:numPr>
          <w:ilvl w:val="0"/>
          <w:numId w:val="11"/>
        </w:numPr>
        <w:rPr>
          <w:rFonts w:eastAsia="MS Mincho"/>
          <w:szCs w:val="22"/>
        </w:rPr>
      </w:pPr>
      <w:r w:rsidRPr="00B845BA">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18E7E08" w14:textId="77777777" w:rsidR="00115BE4" w:rsidRPr="00B845BA" w:rsidRDefault="00115BE4" w:rsidP="00115BE4">
      <w:pPr>
        <w:pStyle w:val="ParaNum"/>
        <w:numPr>
          <w:ilvl w:val="0"/>
          <w:numId w:val="11"/>
        </w:numPr>
        <w:rPr>
          <w:rFonts w:eastAsia="MS Mincho"/>
          <w:szCs w:val="22"/>
        </w:rPr>
      </w:pPr>
      <w:r w:rsidRPr="00B845BA">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528599CD"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Waivers</w:t>
      </w:r>
      <w:r w:rsidRPr="00B845BA">
        <w:rPr>
          <w:szCs w:val="22"/>
        </w:rPr>
        <w:t xml:space="preserve">.  </w:t>
      </w:r>
      <w:r>
        <w:rPr>
          <w:szCs w:val="22"/>
        </w:rPr>
        <w:t>MMK</w:t>
      </w:r>
      <w:r w:rsidRPr="00B845BA">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without change, addition, modification, or deletion.  </w:t>
      </w:r>
      <w:r>
        <w:rPr>
          <w:szCs w:val="22"/>
        </w:rPr>
        <w:t>MMK</w:t>
      </w:r>
      <w:r w:rsidRPr="00B845BA">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Pr>
          <w:szCs w:val="22"/>
        </w:rPr>
        <w:t>MMK</w:t>
      </w:r>
      <w:r w:rsidRPr="00B845BA">
        <w:rPr>
          <w:szCs w:val="22"/>
        </w:rPr>
        <w:t xml:space="preserve"> nor the Commission shall contest the validity of the Consent Decree or the Adopting Order, and </w:t>
      </w:r>
      <w:r>
        <w:rPr>
          <w:szCs w:val="22"/>
        </w:rPr>
        <w:t>MMK</w:t>
      </w:r>
      <w:r w:rsidRPr="00B845BA">
        <w:rPr>
          <w:szCs w:val="22"/>
        </w:rPr>
        <w:t xml:space="preserve"> shall waive any statutory right to a trial </w:t>
      </w:r>
      <w:r w:rsidRPr="00B845BA">
        <w:rPr>
          <w:i/>
          <w:szCs w:val="22"/>
        </w:rPr>
        <w:t>de novo</w:t>
      </w:r>
      <w:r w:rsidRPr="00B845BA">
        <w:rPr>
          <w:szCs w:val="22"/>
        </w:rPr>
        <w:t xml:space="preserve">.  </w:t>
      </w:r>
      <w:r>
        <w:rPr>
          <w:szCs w:val="22"/>
        </w:rPr>
        <w:t>MMK</w:t>
      </w:r>
      <w:r w:rsidRPr="00B845BA">
        <w:rPr>
          <w:szCs w:val="22"/>
        </w:rPr>
        <w:t xml:space="preserve"> hereby agrees to waive any claims it may have under the Equal Access to Justice Act, 5 U.S.C. § 504 and 47 C.F.R. § 1.1501 </w:t>
      </w:r>
      <w:r w:rsidRPr="00B845BA">
        <w:rPr>
          <w:i/>
          <w:szCs w:val="22"/>
        </w:rPr>
        <w:t>et seq</w:t>
      </w:r>
      <w:r w:rsidRPr="00B845BA">
        <w:rPr>
          <w:szCs w:val="22"/>
        </w:rPr>
        <w:t>., relating to the matters addressed in this Consent Decree.</w:t>
      </w:r>
    </w:p>
    <w:p w14:paraId="6A6A1D58"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Invalidity</w:t>
      </w:r>
      <w:r w:rsidRPr="00B845BA">
        <w:rPr>
          <w:szCs w:val="22"/>
        </w:rPr>
        <w:t>.  The Parties agree that if a court of competent jurisdiction renders 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p>
    <w:p w14:paraId="03F4B667"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Subsequent Rule or Order</w:t>
      </w:r>
      <w:r w:rsidRPr="00B845BA">
        <w:rPr>
          <w:szCs w:val="22"/>
        </w:rPr>
        <w:t xml:space="preserve">.  The Parties agree that if any provision of the Consent Decree conflicts with any subsequent rule or order adopted by the Commission (except an order specifically intended to revise the terms of this Consent Decree to which </w:t>
      </w:r>
      <w:r>
        <w:rPr>
          <w:szCs w:val="22"/>
        </w:rPr>
        <w:t>MMK</w:t>
      </w:r>
      <w:r w:rsidRPr="00B845BA">
        <w:rPr>
          <w:szCs w:val="22"/>
        </w:rPr>
        <w:t xml:space="preserve"> does not expressly consent)</w:t>
      </w:r>
      <w:r>
        <w:rPr>
          <w:szCs w:val="22"/>
        </w:rPr>
        <w:t>,</w:t>
      </w:r>
      <w:r w:rsidRPr="00B845BA">
        <w:rPr>
          <w:szCs w:val="22"/>
        </w:rPr>
        <w:t xml:space="preserve"> that provision will be superseded by such Commission Rule or Order.</w:t>
      </w:r>
    </w:p>
    <w:p w14:paraId="5E064371"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Successors and Assigns</w:t>
      </w:r>
      <w:r w:rsidRPr="00B845BA">
        <w:rPr>
          <w:szCs w:val="22"/>
        </w:rPr>
        <w:t xml:space="preserve">.  </w:t>
      </w:r>
      <w:r>
        <w:rPr>
          <w:szCs w:val="22"/>
        </w:rPr>
        <w:t>MMK</w:t>
      </w:r>
      <w:r w:rsidRPr="00B845BA">
        <w:rPr>
          <w:szCs w:val="22"/>
        </w:rPr>
        <w:t xml:space="preserve"> agrees that the provisions of this Consent Decree shall be binding on its successors, assigns, and transferees.</w:t>
      </w:r>
      <w:r w:rsidRPr="00B845BA">
        <w:rPr>
          <w:szCs w:val="22"/>
          <w:u w:val="single"/>
        </w:rPr>
        <w:t xml:space="preserve">  </w:t>
      </w:r>
    </w:p>
    <w:p w14:paraId="79F53D21" w14:textId="77777777" w:rsidR="009B6681" w:rsidRDefault="00115BE4" w:rsidP="00115BE4">
      <w:pPr>
        <w:pStyle w:val="par1"/>
        <w:numPr>
          <w:ilvl w:val="0"/>
          <w:numId w:val="2"/>
        </w:numPr>
        <w:tabs>
          <w:tab w:val="clear" w:pos="1260"/>
          <w:tab w:val="num" w:pos="1440"/>
        </w:tabs>
        <w:spacing w:after="120"/>
        <w:ind w:left="0"/>
        <w:rPr>
          <w:szCs w:val="22"/>
        </w:rPr>
      </w:pPr>
      <w:r w:rsidRPr="00051646">
        <w:rPr>
          <w:b/>
          <w:szCs w:val="22"/>
          <w:u w:val="single"/>
        </w:rPr>
        <w:t>Admission of Liability</w:t>
      </w:r>
      <w:r w:rsidRPr="00B845BA">
        <w:rPr>
          <w:szCs w:val="22"/>
        </w:rPr>
        <w:t xml:space="preserve">.  </w:t>
      </w:r>
      <w:r>
        <w:rPr>
          <w:szCs w:val="22"/>
        </w:rPr>
        <w:t>MMK</w:t>
      </w:r>
      <w:r w:rsidRPr="00B845BA">
        <w:rPr>
          <w:szCs w:val="22"/>
        </w:rPr>
        <w:t xml:space="preserve"> admits, solely for the purpose of this Consent Decree and for Commission civil enforcement purposes, and in express reliance on the provisions of paragraph </w:t>
      </w:r>
      <w:r>
        <w:rPr>
          <w:szCs w:val="22"/>
        </w:rPr>
        <w:t>9</w:t>
      </w:r>
      <w:r w:rsidRPr="00B845BA">
        <w:rPr>
          <w:szCs w:val="22"/>
        </w:rPr>
        <w:t xml:space="preserve"> hereof, that the broadcast material at issue in this Consent Decree is in violation of 47 C.F.R. § 11.45, assuming construction of these terms as they are construed by the Bureau as of the date hereof.  Notwithstanding any other provision of this Consent Decree, it is expressly agreed and understood that if this Consent Decree, specifically including paragraph </w:t>
      </w:r>
      <w:r>
        <w:rPr>
          <w:szCs w:val="22"/>
        </w:rPr>
        <w:t>9</w:t>
      </w:r>
      <w:r w:rsidRPr="00B845BA">
        <w:rPr>
          <w:szCs w:val="22"/>
        </w:rPr>
        <w:t xml:space="preserve"> hereof, is breached by the Bureau, or is invalidated or modified to </w:t>
      </w:r>
      <w:r>
        <w:rPr>
          <w:szCs w:val="22"/>
        </w:rPr>
        <w:t>MMK</w:t>
      </w:r>
      <w:r w:rsidRPr="00894287">
        <w:rPr>
          <w:szCs w:val="22"/>
        </w:rPr>
        <w:t>’s</w:t>
      </w:r>
      <w:r w:rsidRPr="00B845BA">
        <w:rPr>
          <w:szCs w:val="22"/>
        </w:rPr>
        <w:t xml:space="preserve"> prejudice by the Commission, Bureau, or any court, then and in that event the provisions of the immediately-preceding sentence shall be of no force or effect whatever, and </w:t>
      </w:r>
    </w:p>
    <w:p w14:paraId="31561E78" w14:textId="50370B88" w:rsidR="00115BE4" w:rsidRPr="00B845BA" w:rsidRDefault="009B6681" w:rsidP="009B6681">
      <w:pPr>
        <w:pStyle w:val="par1"/>
        <w:numPr>
          <w:ilvl w:val="0"/>
          <w:numId w:val="0"/>
        </w:numPr>
        <w:spacing w:after="120"/>
        <w:rPr>
          <w:szCs w:val="22"/>
        </w:rPr>
      </w:pPr>
      <w:r>
        <w:rPr>
          <w:szCs w:val="22"/>
        </w:rPr>
        <w:br w:type="page"/>
      </w:r>
      <w:r w:rsidR="00115BE4">
        <w:rPr>
          <w:szCs w:val="22"/>
        </w:rPr>
        <w:t>MMK</w:t>
      </w:r>
      <w:r w:rsidR="00115BE4" w:rsidRPr="00B845BA">
        <w:rPr>
          <w:szCs w:val="22"/>
        </w:rPr>
        <w:t xml:space="preserve"> shall not, by virtue of that sentence or any other provision of this Consent Decree, be deemed to have made any admission concerning violations of 47 C.F.R. § 11.45. </w:t>
      </w:r>
    </w:p>
    <w:p w14:paraId="4FDBA1F5" w14:textId="77777777" w:rsidR="00115BE4" w:rsidRPr="00B845BA" w:rsidRDefault="00115BE4" w:rsidP="00115BE4">
      <w:pPr>
        <w:pStyle w:val="par1"/>
        <w:numPr>
          <w:ilvl w:val="0"/>
          <w:numId w:val="2"/>
        </w:numPr>
        <w:tabs>
          <w:tab w:val="clear" w:pos="1260"/>
          <w:tab w:val="num" w:pos="1440"/>
        </w:tabs>
        <w:spacing w:after="120"/>
        <w:ind w:left="0"/>
        <w:rPr>
          <w:color w:val="000000"/>
          <w:szCs w:val="22"/>
        </w:rPr>
      </w:pPr>
      <w:r w:rsidRPr="00B845BA">
        <w:rPr>
          <w:b/>
          <w:szCs w:val="22"/>
          <w:u w:val="single"/>
        </w:rPr>
        <w:t>Final Settlement</w:t>
      </w:r>
      <w:r w:rsidRPr="00B845BA">
        <w:rPr>
          <w:szCs w:val="22"/>
        </w:rPr>
        <w:t>.  The Parties agree and acknowledge that this Consent Decree shall constitute a final settlement between the Parties with respect to the Investigation.</w:t>
      </w:r>
    </w:p>
    <w:p w14:paraId="37E10EF8" w14:textId="77777777" w:rsidR="00115BE4" w:rsidRPr="00B845BA" w:rsidRDefault="00115BE4" w:rsidP="00115BE4">
      <w:pPr>
        <w:pStyle w:val="par1"/>
        <w:numPr>
          <w:ilvl w:val="0"/>
          <w:numId w:val="2"/>
        </w:numPr>
        <w:tabs>
          <w:tab w:val="clear" w:pos="1260"/>
          <w:tab w:val="num" w:pos="1440"/>
        </w:tabs>
        <w:spacing w:after="120"/>
        <w:ind w:left="0"/>
        <w:rPr>
          <w:szCs w:val="22"/>
        </w:rPr>
      </w:pPr>
      <w:r w:rsidRPr="00B845BA">
        <w:rPr>
          <w:b/>
          <w:szCs w:val="22"/>
          <w:u w:val="single"/>
        </w:rPr>
        <w:t>Modifications</w:t>
      </w:r>
      <w:r w:rsidRPr="00B845BA">
        <w:rPr>
          <w:szCs w:val="22"/>
        </w:rPr>
        <w:t>.  This Consent Decree cannot be modified without the advance written consent of both Parties.</w:t>
      </w:r>
    </w:p>
    <w:p w14:paraId="50080733" w14:textId="77777777" w:rsidR="00115BE4" w:rsidRPr="00B845BA" w:rsidRDefault="00115BE4" w:rsidP="00115BE4">
      <w:pPr>
        <w:pStyle w:val="par1"/>
        <w:numPr>
          <w:ilvl w:val="0"/>
          <w:numId w:val="2"/>
        </w:numPr>
        <w:tabs>
          <w:tab w:val="clear" w:pos="1260"/>
          <w:tab w:val="left" w:pos="1440"/>
        </w:tabs>
        <w:spacing w:after="120"/>
        <w:ind w:left="0"/>
        <w:rPr>
          <w:szCs w:val="22"/>
        </w:rPr>
      </w:pPr>
      <w:r w:rsidRPr="00B845BA">
        <w:rPr>
          <w:b/>
          <w:szCs w:val="22"/>
          <w:u w:val="single"/>
        </w:rPr>
        <w:t>Paragraph Headings</w:t>
      </w:r>
      <w:r w:rsidRPr="00B845BA">
        <w:rPr>
          <w:szCs w:val="22"/>
        </w:rPr>
        <w:t>.  The headings of the paragraphs in this Consent Decree are inserted for convenience only and are not intended to affect the meaning or interpretation of this Consent Decree.</w:t>
      </w:r>
    </w:p>
    <w:p w14:paraId="5F0917D3" w14:textId="77777777" w:rsidR="00115BE4" w:rsidRPr="00B845BA" w:rsidRDefault="00115BE4" w:rsidP="00115BE4">
      <w:pPr>
        <w:pStyle w:val="par1"/>
        <w:numPr>
          <w:ilvl w:val="0"/>
          <w:numId w:val="2"/>
        </w:numPr>
        <w:tabs>
          <w:tab w:val="clear" w:pos="1260"/>
          <w:tab w:val="num" w:pos="1440"/>
        </w:tabs>
        <w:spacing w:after="120"/>
        <w:ind w:left="0"/>
      </w:pPr>
      <w:r w:rsidRPr="00B845BA">
        <w:rPr>
          <w:b/>
          <w:szCs w:val="22"/>
          <w:u w:val="single"/>
        </w:rPr>
        <w:t>Authorized Representative</w:t>
      </w:r>
      <w:r w:rsidRPr="00B845BA">
        <w:rPr>
          <w:szCs w:val="22"/>
        </w:rPr>
        <w:t xml:space="preserve">.  The individual signing this Consent Decree on behalf of </w:t>
      </w:r>
      <w:r>
        <w:rPr>
          <w:szCs w:val="22"/>
        </w:rPr>
        <w:t>MMK</w:t>
      </w:r>
      <w:r w:rsidRPr="00B845BA">
        <w:rPr>
          <w:szCs w:val="22"/>
        </w:rPr>
        <w:t xml:space="preserve"> represents and warrants that he is authorized by </w:t>
      </w:r>
      <w:r>
        <w:rPr>
          <w:szCs w:val="22"/>
        </w:rPr>
        <w:t>MMK</w:t>
      </w:r>
      <w:r w:rsidRPr="00B845BA">
        <w:rPr>
          <w:szCs w:val="22"/>
        </w:rPr>
        <w:t xml:space="preserve"> to execute this Consent Decree and to bind </w:t>
      </w:r>
      <w:r>
        <w:rPr>
          <w:szCs w:val="22"/>
        </w:rPr>
        <w:t>MMK</w:t>
      </w:r>
      <w:r w:rsidRPr="00B845BA">
        <w:rPr>
          <w:szCs w:val="22"/>
        </w:rPr>
        <w:t xml:space="preserve"> to the obligations set forth herein.  The FCC signatory represents that he is signing this Consent Decree in his official capacity and that he is authorized to execute this Consent Decree. </w:t>
      </w:r>
    </w:p>
    <w:p w14:paraId="7AE3F3DB" w14:textId="77777777" w:rsidR="00115BE4" w:rsidRPr="00B845BA" w:rsidRDefault="00115BE4" w:rsidP="00115BE4">
      <w:pPr>
        <w:pStyle w:val="par1"/>
        <w:numPr>
          <w:ilvl w:val="0"/>
          <w:numId w:val="2"/>
        </w:numPr>
        <w:tabs>
          <w:tab w:val="clear" w:pos="1260"/>
          <w:tab w:val="num" w:pos="1440"/>
        </w:tabs>
        <w:ind w:left="0"/>
        <w:rPr>
          <w:szCs w:val="22"/>
        </w:rPr>
      </w:pPr>
      <w:r w:rsidRPr="00B845BA">
        <w:rPr>
          <w:b/>
          <w:szCs w:val="22"/>
          <w:u w:val="single"/>
        </w:rPr>
        <w:t>Counterparts</w:t>
      </w:r>
      <w:r w:rsidRPr="00B845BA">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tbl>
      <w:tblPr>
        <w:tblW w:w="0" w:type="auto"/>
        <w:tblLook w:val="0000" w:firstRow="0" w:lastRow="0" w:firstColumn="0" w:lastColumn="0" w:noHBand="0" w:noVBand="0"/>
      </w:tblPr>
      <w:tblGrid>
        <w:gridCol w:w="4788"/>
        <w:gridCol w:w="4788"/>
      </w:tblGrid>
      <w:tr w:rsidR="00115BE4" w:rsidRPr="00B845BA" w14:paraId="07A90E4C" w14:textId="77777777" w:rsidTr="000F162C">
        <w:tc>
          <w:tcPr>
            <w:tcW w:w="4788" w:type="dxa"/>
          </w:tcPr>
          <w:p w14:paraId="160F2294" w14:textId="77777777" w:rsidR="00115BE4" w:rsidRPr="00B845BA" w:rsidRDefault="00115BE4" w:rsidP="000F162C">
            <w:pPr>
              <w:keepNext/>
              <w:rPr>
                <w:sz w:val="22"/>
                <w:szCs w:val="22"/>
              </w:rPr>
            </w:pPr>
          </w:p>
          <w:p w14:paraId="5DAE5192" w14:textId="77777777" w:rsidR="00115BE4" w:rsidRPr="00B845BA" w:rsidRDefault="00115BE4" w:rsidP="000F162C">
            <w:pPr>
              <w:keepNext/>
              <w:rPr>
                <w:sz w:val="22"/>
                <w:szCs w:val="22"/>
              </w:rPr>
            </w:pPr>
          </w:p>
          <w:p w14:paraId="037C24A9" w14:textId="77777777" w:rsidR="00115BE4" w:rsidRPr="00B845BA" w:rsidRDefault="00115BE4" w:rsidP="000F162C">
            <w:pPr>
              <w:keepNext/>
              <w:rPr>
                <w:sz w:val="22"/>
                <w:szCs w:val="22"/>
              </w:rPr>
            </w:pPr>
          </w:p>
          <w:p w14:paraId="4C9719F8" w14:textId="77777777" w:rsidR="00115BE4" w:rsidRPr="00B845BA" w:rsidRDefault="00115BE4" w:rsidP="000F162C">
            <w:pPr>
              <w:keepNext/>
              <w:rPr>
                <w:sz w:val="22"/>
                <w:szCs w:val="22"/>
              </w:rPr>
            </w:pPr>
            <w:r w:rsidRPr="00B845BA">
              <w:rPr>
                <w:sz w:val="22"/>
                <w:szCs w:val="22"/>
              </w:rPr>
              <w:t>________________________________</w:t>
            </w:r>
          </w:p>
          <w:p w14:paraId="5BCC303C" w14:textId="77777777" w:rsidR="00115BE4" w:rsidRPr="00B845BA" w:rsidRDefault="00115BE4" w:rsidP="000F162C">
            <w:pPr>
              <w:keepNext/>
              <w:rPr>
                <w:sz w:val="22"/>
                <w:szCs w:val="22"/>
              </w:rPr>
            </w:pPr>
            <w:r w:rsidRPr="00B845BA">
              <w:rPr>
                <w:sz w:val="22"/>
                <w:szCs w:val="22"/>
              </w:rPr>
              <w:t xml:space="preserve">Robert </w:t>
            </w:r>
            <w:r>
              <w:rPr>
                <w:sz w:val="22"/>
                <w:szCs w:val="22"/>
              </w:rPr>
              <w:t xml:space="preserve">H. </w:t>
            </w:r>
            <w:r w:rsidRPr="00B845BA">
              <w:rPr>
                <w:sz w:val="22"/>
                <w:szCs w:val="22"/>
              </w:rPr>
              <w:t>Ratcliffe</w:t>
            </w:r>
          </w:p>
          <w:p w14:paraId="43635247" w14:textId="77777777" w:rsidR="00115BE4" w:rsidRPr="00B845BA" w:rsidRDefault="00115BE4" w:rsidP="000F162C">
            <w:pPr>
              <w:keepNext/>
              <w:rPr>
                <w:sz w:val="22"/>
                <w:szCs w:val="22"/>
              </w:rPr>
            </w:pPr>
            <w:r w:rsidRPr="00B845BA">
              <w:rPr>
                <w:sz w:val="22"/>
                <w:szCs w:val="22"/>
              </w:rPr>
              <w:t>Acting Chief</w:t>
            </w:r>
          </w:p>
          <w:p w14:paraId="54583786" w14:textId="77777777" w:rsidR="00115BE4" w:rsidRPr="00B845BA" w:rsidRDefault="00115BE4" w:rsidP="000F162C">
            <w:pPr>
              <w:keepNext/>
              <w:rPr>
                <w:sz w:val="22"/>
                <w:szCs w:val="22"/>
              </w:rPr>
            </w:pPr>
            <w:r w:rsidRPr="00B845BA">
              <w:rPr>
                <w:sz w:val="22"/>
                <w:szCs w:val="22"/>
              </w:rPr>
              <w:t xml:space="preserve">Enforcement Bureau </w:t>
            </w:r>
          </w:p>
          <w:p w14:paraId="5756DF54" w14:textId="77777777" w:rsidR="00115BE4" w:rsidRPr="00B845BA" w:rsidRDefault="00115BE4" w:rsidP="000F162C">
            <w:pPr>
              <w:keepNext/>
              <w:rPr>
                <w:sz w:val="22"/>
                <w:szCs w:val="22"/>
              </w:rPr>
            </w:pPr>
          </w:p>
          <w:p w14:paraId="3AC27694" w14:textId="77777777" w:rsidR="00115BE4" w:rsidRPr="00B845BA" w:rsidRDefault="00115BE4" w:rsidP="000F162C">
            <w:pPr>
              <w:keepNext/>
              <w:rPr>
                <w:sz w:val="22"/>
                <w:szCs w:val="22"/>
              </w:rPr>
            </w:pPr>
          </w:p>
          <w:p w14:paraId="514BD62B" w14:textId="77777777" w:rsidR="00115BE4" w:rsidRPr="00B845BA" w:rsidRDefault="00115BE4" w:rsidP="000F162C">
            <w:pPr>
              <w:keepNext/>
              <w:rPr>
                <w:sz w:val="22"/>
                <w:szCs w:val="22"/>
              </w:rPr>
            </w:pPr>
            <w:r w:rsidRPr="00B845BA">
              <w:rPr>
                <w:sz w:val="22"/>
                <w:szCs w:val="22"/>
              </w:rPr>
              <w:t>________________________________</w:t>
            </w:r>
          </w:p>
          <w:p w14:paraId="6564179F" w14:textId="77777777" w:rsidR="00115BE4" w:rsidRPr="00B845BA" w:rsidRDefault="00115BE4" w:rsidP="000F162C">
            <w:pPr>
              <w:keepNext/>
              <w:rPr>
                <w:sz w:val="22"/>
                <w:szCs w:val="22"/>
              </w:rPr>
            </w:pPr>
            <w:r w:rsidRPr="00B845BA">
              <w:rPr>
                <w:sz w:val="22"/>
                <w:szCs w:val="22"/>
              </w:rPr>
              <w:t>Date</w:t>
            </w:r>
          </w:p>
          <w:p w14:paraId="4BEB0D19" w14:textId="77777777" w:rsidR="00115BE4" w:rsidRPr="00B845BA" w:rsidRDefault="00115BE4" w:rsidP="000F162C">
            <w:pPr>
              <w:keepNext/>
              <w:rPr>
                <w:b/>
                <w:sz w:val="22"/>
                <w:szCs w:val="22"/>
              </w:rPr>
            </w:pPr>
          </w:p>
          <w:p w14:paraId="136245DC" w14:textId="77777777" w:rsidR="00115BE4" w:rsidRPr="00B845BA" w:rsidRDefault="00115BE4" w:rsidP="000F162C">
            <w:pPr>
              <w:keepNext/>
              <w:rPr>
                <w:b/>
                <w:sz w:val="22"/>
                <w:szCs w:val="22"/>
              </w:rPr>
            </w:pPr>
          </w:p>
          <w:p w14:paraId="3C1ED13A" w14:textId="77777777" w:rsidR="00115BE4" w:rsidRPr="00B845BA" w:rsidRDefault="00115BE4" w:rsidP="000F162C">
            <w:pPr>
              <w:keepNext/>
              <w:rPr>
                <w:sz w:val="22"/>
                <w:szCs w:val="22"/>
              </w:rPr>
            </w:pPr>
            <w:r w:rsidRPr="00B845BA">
              <w:rPr>
                <w:sz w:val="22"/>
                <w:szCs w:val="22"/>
              </w:rPr>
              <w:t>MMK LICENSE LLC</w:t>
            </w:r>
          </w:p>
          <w:p w14:paraId="054D82C7" w14:textId="77777777" w:rsidR="00115BE4" w:rsidRPr="00B845BA" w:rsidRDefault="00115BE4" w:rsidP="000F162C">
            <w:pPr>
              <w:keepNext/>
              <w:rPr>
                <w:sz w:val="22"/>
                <w:szCs w:val="22"/>
              </w:rPr>
            </w:pPr>
          </w:p>
          <w:p w14:paraId="099EC491" w14:textId="77777777" w:rsidR="00115BE4" w:rsidRPr="00B845BA" w:rsidRDefault="00115BE4" w:rsidP="000F162C">
            <w:pPr>
              <w:keepNext/>
              <w:rPr>
                <w:b/>
                <w:sz w:val="22"/>
                <w:szCs w:val="22"/>
              </w:rPr>
            </w:pPr>
            <w:r w:rsidRPr="00B845BA">
              <w:rPr>
                <w:sz w:val="22"/>
                <w:szCs w:val="22"/>
              </w:rPr>
              <w:t xml:space="preserve">By:  </w:t>
            </w:r>
            <w:r w:rsidRPr="00B845BA">
              <w:rPr>
                <w:b/>
                <w:sz w:val="22"/>
                <w:szCs w:val="22"/>
              </w:rPr>
              <w:t>_____________________________</w:t>
            </w:r>
          </w:p>
          <w:p w14:paraId="2AE7B1F7" w14:textId="77777777" w:rsidR="00115BE4" w:rsidRPr="00B845BA" w:rsidRDefault="00115BE4" w:rsidP="000F162C">
            <w:pPr>
              <w:keepNext/>
              <w:rPr>
                <w:sz w:val="22"/>
                <w:szCs w:val="22"/>
              </w:rPr>
            </w:pPr>
            <w:r w:rsidRPr="00B845BA">
              <w:rPr>
                <w:sz w:val="22"/>
                <w:szCs w:val="22"/>
              </w:rPr>
              <w:t>David J. Wilhelm</w:t>
            </w:r>
          </w:p>
          <w:p w14:paraId="15A3088E" w14:textId="77777777" w:rsidR="00115BE4" w:rsidRPr="00B845BA" w:rsidRDefault="00115BE4" w:rsidP="000F162C">
            <w:pPr>
              <w:pStyle w:val="BodyText"/>
              <w:rPr>
                <w:b w:val="0"/>
                <w:sz w:val="22"/>
                <w:szCs w:val="22"/>
                <w:u w:val="none"/>
                <w:lang w:val="en-US" w:eastAsia="en-US"/>
              </w:rPr>
            </w:pPr>
            <w:r w:rsidRPr="00B845BA">
              <w:rPr>
                <w:b w:val="0"/>
                <w:sz w:val="22"/>
                <w:szCs w:val="22"/>
                <w:u w:val="none"/>
                <w:lang w:val="en-US" w:eastAsia="en-US"/>
              </w:rPr>
              <w:t>Vice President/Assistant Secretary</w:t>
            </w:r>
          </w:p>
          <w:p w14:paraId="2A8BEF6D" w14:textId="77777777" w:rsidR="00115BE4" w:rsidRPr="00B845BA" w:rsidRDefault="00115BE4" w:rsidP="000F162C">
            <w:pPr>
              <w:keepNext/>
              <w:rPr>
                <w:sz w:val="22"/>
                <w:szCs w:val="22"/>
              </w:rPr>
            </w:pPr>
          </w:p>
          <w:p w14:paraId="556CF925" w14:textId="77777777" w:rsidR="00115BE4" w:rsidRPr="00B845BA" w:rsidRDefault="00115BE4" w:rsidP="000F162C">
            <w:pPr>
              <w:keepNext/>
              <w:rPr>
                <w:sz w:val="22"/>
                <w:szCs w:val="22"/>
              </w:rPr>
            </w:pPr>
          </w:p>
          <w:p w14:paraId="509EE465" w14:textId="77777777" w:rsidR="00115BE4" w:rsidRPr="00B845BA" w:rsidRDefault="00115BE4" w:rsidP="000F162C">
            <w:pPr>
              <w:keepNext/>
              <w:rPr>
                <w:sz w:val="22"/>
                <w:szCs w:val="22"/>
              </w:rPr>
            </w:pPr>
            <w:r w:rsidRPr="00B845BA">
              <w:rPr>
                <w:sz w:val="22"/>
                <w:szCs w:val="22"/>
              </w:rPr>
              <w:t>________________________________</w:t>
            </w:r>
          </w:p>
          <w:p w14:paraId="7AACDC5E" w14:textId="77777777" w:rsidR="00115BE4" w:rsidRPr="00B845BA" w:rsidRDefault="00115BE4" w:rsidP="000F162C">
            <w:pPr>
              <w:keepNext/>
              <w:rPr>
                <w:sz w:val="22"/>
                <w:szCs w:val="22"/>
              </w:rPr>
            </w:pPr>
            <w:r w:rsidRPr="00B845BA">
              <w:rPr>
                <w:sz w:val="22"/>
                <w:szCs w:val="22"/>
              </w:rPr>
              <w:t>Date</w:t>
            </w:r>
          </w:p>
        </w:tc>
        <w:tc>
          <w:tcPr>
            <w:tcW w:w="4788" w:type="dxa"/>
          </w:tcPr>
          <w:p w14:paraId="548EEEA5" w14:textId="77777777" w:rsidR="00115BE4" w:rsidRPr="00B845BA" w:rsidRDefault="00115BE4" w:rsidP="000F162C">
            <w:pPr>
              <w:keepNext/>
              <w:rPr>
                <w:sz w:val="22"/>
                <w:szCs w:val="22"/>
              </w:rPr>
            </w:pPr>
          </w:p>
          <w:p w14:paraId="0A660A62" w14:textId="77777777" w:rsidR="00115BE4" w:rsidRPr="00B845BA" w:rsidRDefault="00115BE4" w:rsidP="000F162C">
            <w:pPr>
              <w:keepNext/>
              <w:rPr>
                <w:b/>
                <w:sz w:val="22"/>
                <w:szCs w:val="22"/>
              </w:rPr>
            </w:pPr>
          </w:p>
        </w:tc>
      </w:tr>
    </w:tbl>
    <w:p w14:paraId="7B963207" w14:textId="77777777" w:rsidR="00115BE4" w:rsidRPr="00B845BA" w:rsidRDefault="00115BE4" w:rsidP="00115BE4">
      <w:pPr>
        <w:rPr>
          <w:sz w:val="22"/>
          <w:szCs w:val="22"/>
        </w:rPr>
      </w:pPr>
    </w:p>
    <w:p w14:paraId="4C0A2E21" w14:textId="77777777" w:rsidR="00115BE4" w:rsidRDefault="00115BE4" w:rsidP="00115BE4">
      <w:pPr>
        <w:ind w:firstLine="720"/>
        <w:jc w:val="center"/>
        <w:rPr>
          <w:b/>
          <w:bCs/>
          <w:color w:val="000000"/>
        </w:rPr>
      </w:pPr>
      <w:r>
        <w:rPr>
          <w:spacing w:val="-2"/>
          <w:sz w:val="22"/>
          <w:szCs w:val="22"/>
        </w:rPr>
        <w:br w:type="page"/>
      </w:r>
      <w:r>
        <w:rPr>
          <w:b/>
          <w:bCs/>
          <w:color w:val="000000"/>
        </w:rPr>
        <w:t>ATTACHMENT A</w:t>
      </w:r>
    </w:p>
    <w:p w14:paraId="3D987DEE" w14:textId="77777777" w:rsidR="00115BE4" w:rsidRPr="00FF79FC" w:rsidRDefault="00115BE4" w:rsidP="00115BE4">
      <w:pPr>
        <w:ind w:firstLine="720"/>
        <w:jc w:val="center"/>
        <w:rPr>
          <w:sz w:val="22"/>
          <w:szCs w:val="22"/>
        </w:rPr>
      </w:pPr>
      <w:r w:rsidRPr="00FF79FC">
        <w:rPr>
          <w:b/>
          <w:bCs/>
          <w:color w:val="000000"/>
          <w:sz w:val="22"/>
          <w:szCs w:val="22"/>
        </w:rPr>
        <w:t>EAS PUBLIC EDUCATION PROGRAM</w:t>
      </w:r>
    </w:p>
    <w:p w14:paraId="1E23FA6A" w14:textId="77777777" w:rsidR="00115BE4" w:rsidRPr="00FF79FC" w:rsidRDefault="00115BE4" w:rsidP="00115BE4">
      <w:pPr>
        <w:rPr>
          <w:sz w:val="22"/>
          <w:szCs w:val="22"/>
        </w:rPr>
      </w:pPr>
    </w:p>
    <w:p w14:paraId="654A7E03" w14:textId="77777777" w:rsidR="00115BE4" w:rsidRPr="00FF79FC" w:rsidRDefault="00115BE4" w:rsidP="00115BE4">
      <w:pPr>
        <w:rPr>
          <w:sz w:val="22"/>
          <w:szCs w:val="22"/>
        </w:rPr>
      </w:pPr>
      <w:r w:rsidRPr="00FF79FC">
        <w:rPr>
          <w:sz w:val="22"/>
          <w:szCs w:val="22"/>
        </w:rPr>
        <w:t xml:space="preserve">MMK License </w:t>
      </w:r>
      <w:r w:rsidRPr="00C55F72">
        <w:rPr>
          <w:sz w:val="22"/>
          <w:szCs w:val="22"/>
        </w:rPr>
        <w:t xml:space="preserve">LLC </w:t>
      </w:r>
      <w:r>
        <w:rPr>
          <w:sz w:val="22"/>
          <w:szCs w:val="22"/>
        </w:rPr>
        <w:t>(</w:t>
      </w:r>
      <w:r w:rsidRPr="00124F1A">
        <w:rPr>
          <w:sz w:val="22"/>
          <w:szCs w:val="22"/>
        </w:rPr>
        <w:t>MMK</w:t>
      </w:r>
      <w:r>
        <w:rPr>
          <w:sz w:val="22"/>
          <w:szCs w:val="22"/>
        </w:rPr>
        <w:t xml:space="preserve">) </w:t>
      </w:r>
      <w:r w:rsidRPr="00894287">
        <w:rPr>
          <w:sz w:val="22"/>
          <w:szCs w:val="22"/>
        </w:rPr>
        <w:t>shall</w:t>
      </w:r>
      <w:r w:rsidRPr="00D43595">
        <w:rPr>
          <w:sz w:val="22"/>
        </w:rPr>
        <w:t xml:space="preserve"> initiate</w:t>
      </w:r>
      <w:r w:rsidRPr="00C55F72">
        <w:rPr>
          <w:sz w:val="22"/>
          <w:szCs w:val="22"/>
        </w:rPr>
        <w:t xml:space="preserve"> a concerted</w:t>
      </w:r>
      <w:r w:rsidRPr="00FF79FC">
        <w:rPr>
          <w:sz w:val="22"/>
          <w:szCs w:val="22"/>
        </w:rPr>
        <w:t xml:space="preserve"> campaign to educate members of the public on the </w:t>
      </w:r>
      <w:r>
        <w:rPr>
          <w:sz w:val="22"/>
          <w:szCs w:val="22"/>
        </w:rPr>
        <w:t>“</w:t>
      </w:r>
      <w:r w:rsidRPr="00FF79FC">
        <w:rPr>
          <w:sz w:val="22"/>
          <w:szCs w:val="22"/>
        </w:rPr>
        <w:t>what, where, when, who, why and how</w:t>
      </w:r>
      <w:r>
        <w:rPr>
          <w:sz w:val="22"/>
          <w:szCs w:val="22"/>
        </w:rPr>
        <w:t>”</w:t>
      </w:r>
      <w:r w:rsidRPr="00FF79FC">
        <w:rPr>
          <w:sz w:val="22"/>
          <w:szCs w:val="22"/>
        </w:rPr>
        <w:t xml:space="preserve"> of EAS alerts, the limits of public warning capabilities, and appropriate responses to emergency warning messages. </w:t>
      </w:r>
      <w:r>
        <w:rPr>
          <w:sz w:val="22"/>
          <w:szCs w:val="22"/>
        </w:rPr>
        <w:t xml:space="preserve"> </w:t>
      </w:r>
      <w:r w:rsidRPr="00FF79FC">
        <w:rPr>
          <w:sz w:val="22"/>
          <w:szCs w:val="22"/>
        </w:rPr>
        <w:t xml:space="preserve">The public education campaign will be integrated and coordinated with the disaster and emergency response agencies of </w:t>
      </w:r>
      <w:r w:rsidRPr="00124F1A">
        <w:rPr>
          <w:sz w:val="22"/>
          <w:szCs w:val="22"/>
        </w:rPr>
        <w:t>Bowling Green, Warren County, the State of Kentucky, and federal agencies</w:t>
      </w:r>
      <w:r w:rsidRPr="00FF79FC">
        <w:rPr>
          <w:sz w:val="22"/>
          <w:szCs w:val="22"/>
        </w:rPr>
        <w:t xml:space="preserve">. </w:t>
      </w:r>
    </w:p>
    <w:p w14:paraId="75D11A32" w14:textId="77777777" w:rsidR="00115BE4" w:rsidRPr="00FF79FC" w:rsidRDefault="00115BE4" w:rsidP="00115BE4">
      <w:pPr>
        <w:rPr>
          <w:sz w:val="22"/>
          <w:szCs w:val="22"/>
        </w:rPr>
      </w:pPr>
      <w:r w:rsidRPr="00FF79FC">
        <w:rPr>
          <w:sz w:val="22"/>
          <w:szCs w:val="22"/>
        </w:rPr>
        <w:t> </w:t>
      </w:r>
    </w:p>
    <w:p w14:paraId="71E6D996" w14:textId="77777777" w:rsidR="00115BE4" w:rsidRPr="00FF79FC" w:rsidRDefault="00115BE4" w:rsidP="00115BE4">
      <w:pPr>
        <w:rPr>
          <w:sz w:val="22"/>
          <w:szCs w:val="22"/>
        </w:rPr>
      </w:pPr>
      <w:r w:rsidRPr="00FF79FC">
        <w:rPr>
          <w:sz w:val="22"/>
          <w:szCs w:val="22"/>
        </w:rPr>
        <w:t>The campaign will include the following:</w:t>
      </w:r>
    </w:p>
    <w:p w14:paraId="40363F36" w14:textId="77777777" w:rsidR="00115BE4" w:rsidRPr="00FF79FC" w:rsidRDefault="00115BE4" w:rsidP="00115BE4">
      <w:pPr>
        <w:rPr>
          <w:sz w:val="22"/>
          <w:szCs w:val="22"/>
        </w:rPr>
      </w:pPr>
      <w:r w:rsidRPr="00FF79FC">
        <w:rPr>
          <w:sz w:val="22"/>
          <w:szCs w:val="22"/>
        </w:rPr>
        <w:t> </w:t>
      </w:r>
    </w:p>
    <w:p w14:paraId="7C23CDDC" w14:textId="77777777" w:rsidR="00115BE4" w:rsidRPr="00FF79FC" w:rsidRDefault="00115BE4" w:rsidP="00115BE4">
      <w:pPr>
        <w:ind w:left="720" w:hanging="360"/>
        <w:rPr>
          <w:sz w:val="22"/>
          <w:szCs w:val="22"/>
        </w:rPr>
      </w:pPr>
      <w:r w:rsidRPr="00FF79FC">
        <w:rPr>
          <w:sz w:val="22"/>
          <w:szCs w:val="22"/>
        </w:rPr>
        <w:t xml:space="preserve">• </w:t>
      </w:r>
      <w:r w:rsidRPr="00FF79FC">
        <w:rPr>
          <w:sz w:val="22"/>
          <w:szCs w:val="22"/>
        </w:rPr>
        <w:tab/>
        <w:t>Public service announcements (PSAs) to be aired on WNKY-DT and WNKY-DT2 immediately prior to or following the Weekly and Monthly</w:t>
      </w:r>
      <w:r>
        <w:rPr>
          <w:sz w:val="22"/>
          <w:szCs w:val="22"/>
        </w:rPr>
        <w:t xml:space="preserve"> EAS</w:t>
      </w:r>
      <w:r w:rsidRPr="00FF79FC">
        <w:rPr>
          <w:sz w:val="22"/>
          <w:szCs w:val="22"/>
        </w:rPr>
        <w:t xml:space="preserve"> Tests t</w:t>
      </w:r>
      <w:r>
        <w:rPr>
          <w:sz w:val="22"/>
          <w:szCs w:val="22"/>
        </w:rPr>
        <w:t>o</w:t>
      </w:r>
      <w:r w:rsidRPr="00FF79FC">
        <w:rPr>
          <w:sz w:val="22"/>
          <w:szCs w:val="22"/>
        </w:rPr>
        <w:t xml:space="preserve"> advise members of the viewing audience of the purpose and the length of the test and recommend that they should establish an emergency preparedness kit and emergency plan for themselves, their families, communities</w:t>
      </w:r>
      <w:r>
        <w:rPr>
          <w:sz w:val="22"/>
          <w:szCs w:val="22"/>
        </w:rPr>
        <w:t>,</w:t>
      </w:r>
      <w:r w:rsidRPr="00FF79FC">
        <w:rPr>
          <w:sz w:val="22"/>
          <w:szCs w:val="22"/>
        </w:rPr>
        <w:t xml:space="preserve"> and businesses.</w:t>
      </w:r>
    </w:p>
    <w:p w14:paraId="049D698F" w14:textId="77777777" w:rsidR="00115BE4" w:rsidRPr="00FF79FC" w:rsidRDefault="00115BE4" w:rsidP="00115BE4">
      <w:pPr>
        <w:ind w:left="720" w:hanging="360"/>
        <w:rPr>
          <w:sz w:val="22"/>
          <w:szCs w:val="22"/>
        </w:rPr>
      </w:pPr>
      <w:r w:rsidRPr="00FF79FC">
        <w:rPr>
          <w:sz w:val="22"/>
          <w:szCs w:val="22"/>
        </w:rPr>
        <w:t> </w:t>
      </w:r>
    </w:p>
    <w:p w14:paraId="25E7575C" w14:textId="77777777" w:rsidR="00115BE4" w:rsidRPr="00FF79FC" w:rsidRDefault="00115BE4" w:rsidP="00115BE4">
      <w:pPr>
        <w:ind w:left="720" w:hanging="360"/>
        <w:rPr>
          <w:sz w:val="22"/>
          <w:szCs w:val="22"/>
        </w:rPr>
      </w:pPr>
      <w:r w:rsidRPr="00FF79FC">
        <w:rPr>
          <w:sz w:val="22"/>
          <w:szCs w:val="22"/>
        </w:rPr>
        <w:t xml:space="preserve">• </w:t>
      </w:r>
      <w:r w:rsidRPr="00FF79FC">
        <w:rPr>
          <w:sz w:val="22"/>
          <w:szCs w:val="22"/>
        </w:rPr>
        <w:tab/>
        <w:t>A minimum of 160 PSAs to be aired on WNKY-DT and WNKY-DT2 (80 PSAs per station) that will focus on emergency and disaster preparedness issues and will be aired throughout the broadcast day on both stations.</w:t>
      </w:r>
    </w:p>
    <w:p w14:paraId="370F380B" w14:textId="77777777" w:rsidR="00115BE4" w:rsidRPr="00FF79FC" w:rsidRDefault="00115BE4" w:rsidP="00115BE4">
      <w:pPr>
        <w:ind w:left="720" w:hanging="360"/>
        <w:rPr>
          <w:sz w:val="22"/>
          <w:szCs w:val="22"/>
        </w:rPr>
      </w:pPr>
      <w:r w:rsidRPr="00FF79FC">
        <w:rPr>
          <w:sz w:val="22"/>
          <w:szCs w:val="22"/>
        </w:rPr>
        <w:t> </w:t>
      </w:r>
    </w:p>
    <w:p w14:paraId="5DE5CCBF" w14:textId="77777777" w:rsidR="00115BE4" w:rsidRPr="00FF79FC" w:rsidRDefault="00115BE4" w:rsidP="00115BE4">
      <w:pPr>
        <w:ind w:left="720" w:hanging="360"/>
        <w:rPr>
          <w:sz w:val="22"/>
          <w:szCs w:val="22"/>
        </w:rPr>
      </w:pPr>
      <w:r w:rsidRPr="00FF79FC">
        <w:rPr>
          <w:sz w:val="22"/>
          <w:szCs w:val="22"/>
        </w:rPr>
        <w:t xml:space="preserve">• </w:t>
      </w:r>
      <w:r w:rsidRPr="00FF79FC">
        <w:rPr>
          <w:sz w:val="22"/>
          <w:szCs w:val="22"/>
        </w:rPr>
        <w:tab/>
        <w:t xml:space="preserve">Interviews with local emergency preparedness officials and vignette programs on emergency awareness topics to be aired at least twice a month on </w:t>
      </w:r>
      <w:r>
        <w:rPr>
          <w:sz w:val="22"/>
          <w:szCs w:val="22"/>
        </w:rPr>
        <w:t>“</w:t>
      </w:r>
      <w:r w:rsidRPr="00FF79FC">
        <w:rPr>
          <w:sz w:val="22"/>
          <w:szCs w:val="22"/>
        </w:rPr>
        <w:t>Bowling Green Today</w:t>
      </w:r>
      <w:r>
        <w:rPr>
          <w:sz w:val="22"/>
          <w:szCs w:val="22"/>
        </w:rPr>
        <w:t>”</w:t>
      </w:r>
      <w:r w:rsidRPr="00FF79FC">
        <w:rPr>
          <w:sz w:val="22"/>
          <w:szCs w:val="22"/>
        </w:rPr>
        <w:t xml:space="preserve">, a weekday morning program broadcast from 6:30-7:00 a.m. on WNKY-DT and </w:t>
      </w:r>
      <w:r>
        <w:rPr>
          <w:sz w:val="22"/>
          <w:szCs w:val="22"/>
        </w:rPr>
        <w:t xml:space="preserve">from </w:t>
      </w:r>
      <w:r w:rsidRPr="00FF79FC">
        <w:rPr>
          <w:sz w:val="22"/>
          <w:szCs w:val="22"/>
        </w:rPr>
        <w:t>9:00-9:30 a.m. on WNKY-DT2.</w:t>
      </w:r>
    </w:p>
    <w:p w14:paraId="53EC918E" w14:textId="77777777" w:rsidR="00115BE4" w:rsidRPr="00FF79FC" w:rsidRDefault="00115BE4" w:rsidP="00115BE4">
      <w:pPr>
        <w:ind w:left="720" w:hanging="360"/>
        <w:rPr>
          <w:sz w:val="22"/>
          <w:szCs w:val="22"/>
        </w:rPr>
      </w:pPr>
      <w:r w:rsidRPr="00FF79FC">
        <w:rPr>
          <w:sz w:val="22"/>
          <w:szCs w:val="22"/>
        </w:rPr>
        <w:t> </w:t>
      </w:r>
    </w:p>
    <w:p w14:paraId="3598CA15" w14:textId="337DBF0F" w:rsidR="00115BE4" w:rsidRPr="00FF79FC" w:rsidRDefault="00115BE4" w:rsidP="00115BE4">
      <w:pPr>
        <w:ind w:left="720" w:hanging="360"/>
        <w:rPr>
          <w:sz w:val="22"/>
          <w:szCs w:val="22"/>
        </w:rPr>
      </w:pPr>
      <w:r w:rsidRPr="00FF79FC">
        <w:rPr>
          <w:sz w:val="22"/>
          <w:szCs w:val="22"/>
        </w:rPr>
        <w:t xml:space="preserve">• </w:t>
      </w:r>
      <w:r w:rsidRPr="00FF79FC">
        <w:rPr>
          <w:sz w:val="22"/>
          <w:szCs w:val="22"/>
        </w:rPr>
        <w:tab/>
        <w:t>Expansion of WNKY</w:t>
      </w:r>
      <w:r>
        <w:rPr>
          <w:sz w:val="22"/>
          <w:szCs w:val="22"/>
        </w:rPr>
        <w:t>’</w:t>
      </w:r>
      <w:r w:rsidRPr="00FF79FC">
        <w:rPr>
          <w:sz w:val="22"/>
          <w:szCs w:val="22"/>
        </w:rPr>
        <w:t>s website (</w:t>
      </w:r>
      <w:r w:rsidRPr="00037581">
        <w:rPr>
          <w:sz w:val="22"/>
          <w:szCs w:val="22"/>
          <w:u w:val="single"/>
        </w:rPr>
        <w:t>www.wnky.net</w:t>
      </w:r>
      <w:r w:rsidRPr="00FF79FC">
        <w:rPr>
          <w:sz w:val="22"/>
          <w:szCs w:val="22"/>
        </w:rPr>
        <w:t>) to include: (1) links to local emergency agencies and departments; (2) emergency-related information in the form of PSA-type banner messages; and (3) video preroll messages prepared in-house and from F</w:t>
      </w:r>
      <w:r>
        <w:rPr>
          <w:sz w:val="22"/>
          <w:szCs w:val="22"/>
        </w:rPr>
        <w:t xml:space="preserve">ederal </w:t>
      </w:r>
      <w:r w:rsidRPr="00FF79FC">
        <w:rPr>
          <w:sz w:val="22"/>
          <w:szCs w:val="22"/>
        </w:rPr>
        <w:t>E</w:t>
      </w:r>
      <w:r>
        <w:rPr>
          <w:sz w:val="22"/>
          <w:szCs w:val="22"/>
        </w:rPr>
        <w:t xml:space="preserve">mergency </w:t>
      </w:r>
      <w:r w:rsidRPr="00FF79FC">
        <w:rPr>
          <w:sz w:val="22"/>
          <w:szCs w:val="22"/>
        </w:rPr>
        <w:t>M</w:t>
      </w:r>
      <w:r>
        <w:rPr>
          <w:sz w:val="22"/>
          <w:szCs w:val="22"/>
        </w:rPr>
        <w:t xml:space="preserve">anagement </w:t>
      </w:r>
      <w:r w:rsidRPr="00FF79FC">
        <w:rPr>
          <w:sz w:val="22"/>
          <w:szCs w:val="22"/>
        </w:rPr>
        <w:t>A</w:t>
      </w:r>
      <w:r>
        <w:rPr>
          <w:sz w:val="22"/>
          <w:szCs w:val="22"/>
        </w:rPr>
        <w:t xml:space="preserve">gency (FEMA) </w:t>
      </w:r>
      <w:r w:rsidRPr="00FF79FC">
        <w:rPr>
          <w:sz w:val="22"/>
          <w:szCs w:val="22"/>
        </w:rPr>
        <w:t>and local emergency preparedness agencies.</w:t>
      </w:r>
    </w:p>
    <w:p w14:paraId="418D44C5" w14:textId="77777777" w:rsidR="00115BE4" w:rsidRPr="00FF79FC" w:rsidRDefault="00115BE4" w:rsidP="00115BE4">
      <w:pPr>
        <w:ind w:left="720" w:hanging="360"/>
        <w:rPr>
          <w:sz w:val="22"/>
          <w:szCs w:val="22"/>
        </w:rPr>
      </w:pPr>
      <w:r w:rsidRPr="00FF79FC">
        <w:rPr>
          <w:sz w:val="22"/>
          <w:szCs w:val="22"/>
        </w:rPr>
        <w:t> </w:t>
      </w:r>
    </w:p>
    <w:p w14:paraId="63941BCC" w14:textId="77777777" w:rsidR="00115BE4" w:rsidRPr="00D43595" w:rsidRDefault="00115BE4" w:rsidP="00115BE4">
      <w:pPr>
        <w:ind w:left="720" w:hanging="360"/>
        <w:rPr>
          <w:sz w:val="22"/>
          <w:szCs w:val="22"/>
        </w:rPr>
      </w:pPr>
      <w:r w:rsidRPr="00FF79FC">
        <w:rPr>
          <w:sz w:val="22"/>
          <w:szCs w:val="22"/>
        </w:rPr>
        <w:t xml:space="preserve">• </w:t>
      </w:r>
      <w:r w:rsidRPr="00FF79FC">
        <w:rPr>
          <w:sz w:val="22"/>
          <w:szCs w:val="22"/>
        </w:rPr>
        <w:tab/>
        <w:t xml:space="preserve">Use of special radio equipment to be provided by Warren County Emergency Management (WCEM) to communicate directly with WCEM officials, including a Community Activated </w:t>
      </w:r>
      <w:r>
        <w:rPr>
          <w:sz w:val="22"/>
          <w:szCs w:val="22"/>
        </w:rPr>
        <w:t>Lifesaving Voice</w:t>
      </w:r>
      <w:r w:rsidRPr="00FF79FC">
        <w:rPr>
          <w:sz w:val="22"/>
          <w:szCs w:val="22"/>
        </w:rPr>
        <w:t xml:space="preserve"> Emergency System (CALVES) </w:t>
      </w:r>
      <w:r>
        <w:rPr>
          <w:sz w:val="22"/>
          <w:szCs w:val="22"/>
        </w:rPr>
        <w:t>system</w:t>
      </w:r>
      <w:r w:rsidRPr="00FF79FC">
        <w:rPr>
          <w:sz w:val="22"/>
          <w:szCs w:val="22"/>
        </w:rPr>
        <w:t xml:space="preserve"> that will relay alerts to the station</w:t>
      </w:r>
      <w:r>
        <w:rPr>
          <w:sz w:val="22"/>
          <w:szCs w:val="22"/>
        </w:rPr>
        <w:t>’</w:t>
      </w:r>
      <w:r w:rsidRPr="00FF79FC">
        <w:rPr>
          <w:sz w:val="22"/>
          <w:szCs w:val="22"/>
        </w:rPr>
        <w:t>s master control personnel and an additional SkyCam at the station</w:t>
      </w:r>
      <w:r>
        <w:rPr>
          <w:sz w:val="22"/>
          <w:szCs w:val="22"/>
        </w:rPr>
        <w:t>’</w:t>
      </w:r>
      <w:r w:rsidRPr="00FF79FC">
        <w:rPr>
          <w:sz w:val="22"/>
          <w:szCs w:val="22"/>
        </w:rPr>
        <w:t>s main transmitter tower</w:t>
      </w:r>
      <w:r>
        <w:rPr>
          <w:sz w:val="22"/>
          <w:szCs w:val="22"/>
        </w:rPr>
        <w:t xml:space="preserve">.  The CALVES unit is part of the Community Outdoor Warning System (COWS) in Bowling Green / Warren County.  CALVES is an indoor system and provides schools, factories, large businesses, public libraries, etc., with lifesaving information.  In addition to providing an alert tone, CALVES is tapped into NOAA weather radio alerts and WCEM can activate the CALVES units for area emergencies, and speak into the CALVES system.  </w:t>
      </w:r>
      <w:r>
        <w:t>The COWS system cannot provide this timely and detailed info, thus the importance of CALVES. </w:t>
      </w:r>
    </w:p>
    <w:p w14:paraId="43FB3FF8" w14:textId="77777777" w:rsidR="00115BE4" w:rsidRPr="00FF79FC" w:rsidRDefault="00115BE4" w:rsidP="00115BE4">
      <w:pPr>
        <w:ind w:left="720" w:hanging="360"/>
        <w:rPr>
          <w:sz w:val="22"/>
          <w:szCs w:val="22"/>
        </w:rPr>
      </w:pPr>
      <w:r w:rsidRPr="00FF79FC">
        <w:rPr>
          <w:sz w:val="22"/>
          <w:szCs w:val="22"/>
        </w:rPr>
        <w:t> </w:t>
      </w:r>
    </w:p>
    <w:p w14:paraId="18D1E549" w14:textId="77777777" w:rsidR="00115BE4" w:rsidRPr="00FF79FC" w:rsidRDefault="00115BE4" w:rsidP="00115BE4">
      <w:pPr>
        <w:ind w:left="720" w:hanging="360"/>
        <w:rPr>
          <w:sz w:val="22"/>
          <w:szCs w:val="22"/>
        </w:rPr>
      </w:pPr>
      <w:r w:rsidRPr="00FF79FC">
        <w:rPr>
          <w:sz w:val="22"/>
          <w:szCs w:val="22"/>
        </w:rPr>
        <w:t xml:space="preserve">• </w:t>
      </w:r>
      <w:r w:rsidRPr="00FF79FC">
        <w:rPr>
          <w:sz w:val="22"/>
          <w:szCs w:val="22"/>
        </w:rPr>
        <w:tab/>
        <w:t>MMK will lease space to WCEM on WNKY</w:t>
      </w:r>
      <w:r>
        <w:rPr>
          <w:sz w:val="22"/>
          <w:szCs w:val="22"/>
        </w:rPr>
        <w:t>’</w:t>
      </w:r>
      <w:r w:rsidRPr="00FF79FC">
        <w:rPr>
          <w:sz w:val="22"/>
          <w:szCs w:val="22"/>
        </w:rPr>
        <w:t>s tower for a new modernized communications system that has the capability of linking multiple Bowling Green and Warren County agencies and organizations.</w:t>
      </w:r>
      <w:r>
        <w:rPr>
          <w:sz w:val="22"/>
          <w:szCs w:val="22"/>
        </w:rPr>
        <w:t xml:space="preserve"> </w:t>
      </w:r>
      <w:r w:rsidRPr="00FF79FC">
        <w:rPr>
          <w:sz w:val="22"/>
          <w:szCs w:val="22"/>
        </w:rPr>
        <w:t xml:space="preserve"> Such a communications system will enable WNKY and WCEM to share storm damage reports as well as information concerning natural disasters and other emergencies impacting residents of the station</w:t>
      </w:r>
      <w:r>
        <w:rPr>
          <w:sz w:val="22"/>
          <w:szCs w:val="22"/>
        </w:rPr>
        <w:t>’</w:t>
      </w:r>
      <w:r w:rsidRPr="00FF79FC">
        <w:rPr>
          <w:sz w:val="22"/>
          <w:szCs w:val="22"/>
        </w:rPr>
        <w:t>s core viewing areas in Warren and Barren Counties.</w:t>
      </w:r>
    </w:p>
    <w:p w14:paraId="4755F357" w14:textId="77777777" w:rsidR="00115BE4" w:rsidRPr="00FF79FC" w:rsidRDefault="00115BE4" w:rsidP="00115BE4">
      <w:pPr>
        <w:ind w:left="720" w:hanging="360"/>
        <w:rPr>
          <w:sz w:val="22"/>
          <w:szCs w:val="22"/>
        </w:rPr>
      </w:pPr>
      <w:r w:rsidRPr="00FF79FC">
        <w:rPr>
          <w:sz w:val="22"/>
          <w:szCs w:val="22"/>
        </w:rPr>
        <w:t> </w:t>
      </w:r>
    </w:p>
    <w:p w14:paraId="7A177850" w14:textId="77777777" w:rsidR="00037581" w:rsidRDefault="00115BE4" w:rsidP="00115BE4">
      <w:pPr>
        <w:ind w:left="720" w:hanging="360"/>
        <w:rPr>
          <w:sz w:val="22"/>
          <w:szCs w:val="22"/>
        </w:rPr>
      </w:pPr>
      <w:r w:rsidRPr="00FF79FC">
        <w:rPr>
          <w:sz w:val="22"/>
          <w:szCs w:val="22"/>
        </w:rPr>
        <w:t xml:space="preserve">• </w:t>
      </w:r>
      <w:r w:rsidRPr="00FF79FC">
        <w:rPr>
          <w:sz w:val="22"/>
          <w:szCs w:val="22"/>
        </w:rPr>
        <w:tab/>
        <w:t>Use of social media and digital technologies to provide prompt dissemination of emergency alerts, including (1) post each week on WNKY</w:t>
      </w:r>
      <w:r>
        <w:rPr>
          <w:sz w:val="22"/>
          <w:szCs w:val="22"/>
        </w:rPr>
        <w:t>’</w:t>
      </w:r>
      <w:r w:rsidRPr="00FF79FC">
        <w:rPr>
          <w:sz w:val="22"/>
          <w:szCs w:val="22"/>
        </w:rPr>
        <w:t>s Facebook page (radarweatherdog) featuring</w:t>
      </w:r>
    </w:p>
    <w:p w14:paraId="476537EE" w14:textId="61A9D8D8" w:rsidR="00115BE4" w:rsidRPr="00FF79FC" w:rsidRDefault="00115BE4" w:rsidP="00115BE4">
      <w:pPr>
        <w:ind w:left="720" w:hanging="360"/>
        <w:rPr>
          <w:sz w:val="22"/>
          <w:szCs w:val="22"/>
        </w:rPr>
      </w:pPr>
      <w:r w:rsidRPr="00FF79FC">
        <w:rPr>
          <w:sz w:val="22"/>
          <w:szCs w:val="22"/>
        </w:rPr>
        <w:t xml:space="preserve"> </w:t>
      </w:r>
      <w:r w:rsidR="00037581">
        <w:rPr>
          <w:sz w:val="22"/>
          <w:szCs w:val="22"/>
        </w:rPr>
        <w:tab/>
      </w:r>
      <w:r w:rsidRPr="00FF79FC">
        <w:rPr>
          <w:sz w:val="22"/>
          <w:szCs w:val="22"/>
        </w:rPr>
        <w:t xml:space="preserve">information culled from PSAs, vignettes that were broadcast on </w:t>
      </w:r>
      <w:r>
        <w:rPr>
          <w:sz w:val="22"/>
          <w:szCs w:val="22"/>
        </w:rPr>
        <w:t>“</w:t>
      </w:r>
      <w:r w:rsidRPr="00FF79FC">
        <w:rPr>
          <w:sz w:val="22"/>
          <w:szCs w:val="22"/>
        </w:rPr>
        <w:t>Bowling Green Today</w:t>
      </w:r>
      <w:r>
        <w:rPr>
          <w:sz w:val="22"/>
          <w:szCs w:val="22"/>
        </w:rPr>
        <w:t>,”</w:t>
      </w:r>
      <w:r w:rsidRPr="00FF79FC">
        <w:rPr>
          <w:sz w:val="22"/>
          <w:szCs w:val="22"/>
        </w:rPr>
        <w:t xml:space="preserve"> and material supplied by WCEM; and (2) timely messages on the station</w:t>
      </w:r>
      <w:r>
        <w:rPr>
          <w:sz w:val="22"/>
          <w:szCs w:val="22"/>
        </w:rPr>
        <w:t>’</w:t>
      </w:r>
      <w:r w:rsidRPr="00FF79FC">
        <w:rPr>
          <w:sz w:val="22"/>
          <w:szCs w:val="22"/>
        </w:rPr>
        <w:t>s</w:t>
      </w:r>
      <w:r>
        <w:rPr>
          <w:sz w:val="22"/>
          <w:szCs w:val="22"/>
        </w:rPr>
        <w:t xml:space="preserve"> “</w:t>
      </w:r>
      <w:r w:rsidRPr="00FF79FC">
        <w:rPr>
          <w:sz w:val="22"/>
          <w:szCs w:val="22"/>
        </w:rPr>
        <w:t>app</w:t>
      </w:r>
      <w:r>
        <w:rPr>
          <w:sz w:val="22"/>
          <w:szCs w:val="22"/>
        </w:rPr>
        <w:t>”</w:t>
      </w:r>
      <w:r w:rsidRPr="00FF79FC">
        <w:rPr>
          <w:sz w:val="22"/>
          <w:szCs w:val="22"/>
        </w:rPr>
        <w:t xml:space="preserve"> (nbc40/cbs40) that will include late-breaking new coverage of severe weather conditions, SKYWatch bulletins</w:t>
      </w:r>
      <w:r>
        <w:rPr>
          <w:sz w:val="22"/>
          <w:szCs w:val="22"/>
        </w:rPr>
        <w:t>,</w:t>
      </w:r>
      <w:r w:rsidRPr="00FF79FC">
        <w:rPr>
          <w:sz w:val="22"/>
          <w:szCs w:val="22"/>
        </w:rPr>
        <w:t xml:space="preserve"> and weather-related forecasts by WNKY</w:t>
      </w:r>
      <w:r>
        <w:rPr>
          <w:sz w:val="22"/>
          <w:szCs w:val="22"/>
        </w:rPr>
        <w:t>’</w:t>
      </w:r>
      <w:r w:rsidRPr="00FF79FC">
        <w:rPr>
          <w:sz w:val="22"/>
          <w:szCs w:val="22"/>
        </w:rPr>
        <w:t>s two meteorologists.</w:t>
      </w:r>
    </w:p>
    <w:p w14:paraId="111F91CF" w14:textId="77777777" w:rsidR="00115BE4" w:rsidRPr="00FF79FC" w:rsidRDefault="00115BE4" w:rsidP="00115BE4">
      <w:pPr>
        <w:ind w:left="720" w:hanging="360"/>
        <w:rPr>
          <w:sz w:val="22"/>
          <w:szCs w:val="22"/>
        </w:rPr>
      </w:pPr>
    </w:p>
    <w:p w14:paraId="03297EB4" w14:textId="77777777" w:rsidR="00115BE4" w:rsidRPr="00FF79FC" w:rsidRDefault="00115BE4" w:rsidP="00115BE4">
      <w:pPr>
        <w:ind w:left="720" w:hanging="360"/>
        <w:rPr>
          <w:sz w:val="22"/>
          <w:szCs w:val="22"/>
        </w:rPr>
      </w:pPr>
      <w:r w:rsidRPr="00FF79FC">
        <w:rPr>
          <w:sz w:val="22"/>
          <w:szCs w:val="22"/>
        </w:rPr>
        <w:t xml:space="preserve">• </w:t>
      </w:r>
      <w:r w:rsidRPr="00FF79FC">
        <w:rPr>
          <w:sz w:val="22"/>
          <w:szCs w:val="22"/>
        </w:rPr>
        <w:tab/>
        <w:t>Use of broadcast meteorology computer solutions from Weather Services International (WSI), namely, the TruVu Alert crawl computer, the Producer computer for preparing weather data/rendering maps for on-air, website and mobile applications, the ShowFX computer for map creation, and the TruVu Interactive computer (TVI) to display and show weather conditions, including a network of live streaming radars utilized from the National Weather Service</w:t>
      </w:r>
      <w:r>
        <w:rPr>
          <w:sz w:val="22"/>
          <w:szCs w:val="22"/>
        </w:rPr>
        <w:t xml:space="preserve"> (NWS)</w:t>
      </w:r>
      <w:r w:rsidRPr="00FF79FC">
        <w:rPr>
          <w:sz w:val="22"/>
          <w:szCs w:val="22"/>
        </w:rPr>
        <w:t>. These systems allow WNKY</w:t>
      </w:r>
      <w:r>
        <w:rPr>
          <w:sz w:val="22"/>
          <w:szCs w:val="22"/>
        </w:rPr>
        <w:t>’</w:t>
      </w:r>
      <w:r w:rsidRPr="00FF79FC">
        <w:rPr>
          <w:sz w:val="22"/>
          <w:szCs w:val="22"/>
        </w:rPr>
        <w:t xml:space="preserve">s meteorologists to track potential thunderstorms, tornadoes, flooding, winter storms, etc. </w:t>
      </w:r>
      <w:r>
        <w:rPr>
          <w:sz w:val="22"/>
          <w:szCs w:val="22"/>
        </w:rPr>
        <w:t xml:space="preserve"> </w:t>
      </w:r>
      <w:r w:rsidRPr="00FF79FC">
        <w:rPr>
          <w:sz w:val="22"/>
          <w:szCs w:val="22"/>
        </w:rPr>
        <w:t xml:space="preserve">The station will continue to use exclusive weather forecasting models, such as WSI's RPM. </w:t>
      </w:r>
      <w:r>
        <w:rPr>
          <w:sz w:val="22"/>
          <w:szCs w:val="22"/>
        </w:rPr>
        <w:t xml:space="preserve"> </w:t>
      </w:r>
      <w:r w:rsidRPr="00FF79FC">
        <w:rPr>
          <w:sz w:val="22"/>
          <w:szCs w:val="22"/>
        </w:rPr>
        <w:t>Non-WSI tools to be used will include NWS Chat, a program which gives WNKY</w:t>
      </w:r>
      <w:r>
        <w:rPr>
          <w:sz w:val="22"/>
          <w:szCs w:val="22"/>
        </w:rPr>
        <w:t>’</w:t>
      </w:r>
      <w:r w:rsidRPr="00FF79FC">
        <w:rPr>
          <w:sz w:val="22"/>
          <w:szCs w:val="22"/>
        </w:rPr>
        <w:t>s weather staff the ability to communicate and share information directly with local NWS offices in Louisville, Paducah</w:t>
      </w:r>
      <w:r>
        <w:rPr>
          <w:sz w:val="22"/>
          <w:szCs w:val="22"/>
        </w:rPr>
        <w:t>,</w:t>
      </w:r>
      <w:r w:rsidRPr="00FF79FC">
        <w:rPr>
          <w:sz w:val="22"/>
          <w:szCs w:val="22"/>
        </w:rPr>
        <w:t xml:space="preserve"> and Nashville. </w:t>
      </w:r>
      <w:r>
        <w:rPr>
          <w:sz w:val="22"/>
          <w:szCs w:val="22"/>
        </w:rPr>
        <w:t xml:space="preserve"> </w:t>
      </w:r>
      <w:r w:rsidRPr="00FF79FC">
        <w:rPr>
          <w:sz w:val="22"/>
          <w:szCs w:val="22"/>
        </w:rPr>
        <w:t xml:space="preserve">Data from the Kentucky Mesonet will also continue to be utilized to report severe weather conditions. </w:t>
      </w:r>
      <w:r>
        <w:rPr>
          <w:sz w:val="22"/>
          <w:szCs w:val="22"/>
        </w:rPr>
        <w:t xml:space="preserve"> </w:t>
      </w:r>
      <w:r w:rsidRPr="00FF79FC">
        <w:rPr>
          <w:sz w:val="22"/>
          <w:szCs w:val="22"/>
        </w:rPr>
        <w:t>Additional items which will be used in WNKY</w:t>
      </w:r>
      <w:r>
        <w:rPr>
          <w:sz w:val="22"/>
          <w:szCs w:val="22"/>
        </w:rPr>
        <w:t>’</w:t>
      </w:r>
      <w:r w:rsidRPr="00FF79FC">
        <w:rPr>
          <w:sz w:val="22"/>
          <w:szCs w:val="22"/>
        </w:rPr>
        <w:t>s SkyWatch40 Weather Center will include other radar display/storm tracking programs, traffic and area webcams, and the station</w:t>
      </w:r>
      <w:r>
        <w:rPr>
          <w:sz w:val="22"/>
          <w:szCs w:val="22"/>
        </w:rPr>
        <w:t>’</w:t>
      </w:r>
      <w:r w:rsidRPr="00FF79FC">
        <w:rPr>
          <w:sz w:val="22"/>
          <w:szCs w:val="22"/>
        </w:rPr>
        <w:t>s own camera, SkyCam40, mounted on the studio tower to show incoming weather.</w:t>
      </w:r>
      <w:r>
        <w:rPr>
          <w:sz w:val="22"/>
          <w:szCs w:val="22"/>
        </w:rPr>
        <w:t xml:space="preserve"> </w:t>
      </w:r>
      <w:r w:rsidRPr="00FF79FC">
        <w:rPr>
          <w:sz w:val="22"/>
          <w:szCs w:val="22"/>
        </w:rPr>
        <w:t xml:space="preserve"> All of the aforementioned tracking tools and state-of-the-art technology will enable WNKY to provide viewers with potentially life-saving information during times of severe weather storms, natural disasters, and other emergencies.</w:t>
      </w:r>
    </w:p>
    <w:p w14:paraId="69EE8453" w14:textId="77777777" w:rsidR="00115BE4" w:rsidRPr="00FF79FC" w:rsidRDefault="00115BE4" w:rsidP="00115BE4">
      <w:pPr>
        <w:rPr>
          <w:sz w:val="22"/>
          <w:szCs w:val="22"/>
        </w:rPr>
      </w:pPr>
      <w:r w:rsidRPr="00FF79FC">
        <w:rPr>
          <w:sz w:val="22"/>
          <w:szCs w:val="22"/>
        </w:rPr>
        <w:t> </w:t>
      </w:r>
    </w:p>
    <w:p w14:paraId="7BB16C44" w14:textId="4BF0BE3E" w:rsidR="002508F4" w:rsidRPr="00037581" w:rsidRDefault="00115BE4" w:rsidP="00037581">
      <w:pPr>
        <w:rPr>
          <w:sz w:val="22"/>
          <w:szCs w:val="22"/>
        </w:rPr>
      </w:pPr>
      <w:r w:rsidRPr="00FF79FC">
        <w:rPr>
          <w:sz w:val="22"/>
          <w:szCs w:val="22"/>
        </w:rPr>
        <w:t>MMK shall periodically review and revise the EAS Public Education Program to ensure that it remains current and complete and to enhance its effectiveness. As part of its review of the Program, MMK will confer further with the NWS</w:t>
      </w:r>
      <w:r>
        <w:rPr>
          <w:sz w:val="22"/>
          <w:szCs w:val="22"/>
        </w:rPr>
        <w:t>,</w:t>
      </w:r>
      <w:r w:rsidRPr="00FF79FC">
        <w:rPr>
          <w:sz w:val="22"/>
          <w:szCs w:val="22"/>
        </w:rPr>
        <w:t xml:space="preserve"> and state, county</w:t>
      </w:r>
      <w:r>
        <w:rPr>
          <w:sz w:val="22"/>
          <w:szCs w:val="22"/>
        </w:rPr>
        <w:t>,</w:t>
      </w:r>
      <w:r w:rsidRPr="00FF79FC">
        <w:rPr>
          <w:sz w:val="22"/>
          <w:szCs w:val="22"/>
        </w:rPr>
        <w:t xml:space="preserve"> and federal emergency preparedness managers and public safety officials.</w:t>
      </w:r>
    </w:p>
    <w:sectPr w:rsidR="002508F4" w:rsidRPr="00037581" w:rsidSect="008D6D53">
      <w:footerReference w:type="default" r:id="rId14"/>
      <w:footnotePr>
        <w:numRestart w:val="eachSect"/>
      </w:footnotePr>
      <w:type w:val="continuous"/>
      <w:pgSz w:w="12240" w:h="15840" w:code="1"/>
      <w:pgMar w:top="100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10BB9" w14:textId="77777777" w:rsidR="00B33BA2" w:rsidRDefault="00B33BA2">
      <w:r>
        <w:separator/>
      </w:r>
    </w:p>
  </w:endnote>
  <w:endnote w:type="continuationSeparator" w:id="0">
    <w:p w14:paraId="5768F498" w14:textId="77777777" w:rsidR="00B33BA2" w:rsidRDefault="00B33BA2">
      <w:r>
        <w:continuationSeparator/>
      </w:r>
    </w:p>
  </w:endnote>
  <w:endnote w:type="continuationNotice" w:id="1">
    <w:p w14:paraId="69C5A9E1" w14:textId="77777777" w:rsidR="00B33BA2" w:rsidRDefault="00B33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0F644" w14:textId="77777777" w:rsidR="002508F4" w:rsidRDefault="00250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44704" w14:textId="77777777" w:rsidR="002508F4" w:rsidRDefault="00250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26F0" w14:textId="77777777" w:rsidR="002508F4" w:rsidRDefault="00250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CC5">
      <w:rPr>
        <w:rStyle w:val="PageNumber"/>
        <w:noProof/>
      </w:rPr>
      <w:t>2</w:t>
    </w:r>
    <w:r>
      <w:rPr>
        <w:rStyle w:val="PageNumber"/>
      </w:rPr>
      <w:fldChar w:fldCharType="end"/>
    </w:r>
  </w:p>
  <w:p w14:paraId="255AAB9E" w14:textId="77777777" w:rsidR="002508F4" w:rsidRDefault="00250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18BA" w14:textId="77777777" w:rsidR="0069741E" w:rsidRDefault="006974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67B0" w14:textId="77777777" w:rsidR="008D6D53" w:rsidRDefault="008D6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25F">
      <w:rPr>
        <w:rStyle w:val="PageNumber"/>
        <w:noProof/>
      </w:rPr>
      <w:t>2</w:t>
    </w:r>
    <w:r>
      <w:rPr>
        <w:rStyle w:val="PageNumber"/>
      </w:rPr>
      <w:fldChar w:fldCharType="end"/>
    </w:r>
  </w:p>
  <w:p w14:paraId="024892DF" w14:textId="77777777" w:rsidR="008D6D53" w:rsidRDefault="008D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40695" w14:textId="77777777" w:rsidR="00B33BA2" w:rsidRDefault="00B33BA2">
      <w:r>
        <w:separator/>
      </w:r>
    </w:p>
  </w:footnote>
  <w:footnote w:type="continuationSeparator" w:id="0">
    <w:p w14:paraId="4D22F11B" w14:textId="77777777" w:rsidR="00B33BA2" w:rsidRDefault="00B33BA2">
      <w:r>
        <w:continuationSeparator/>
      </w:r>
    </w:p>
  </w:footnote>
  <w:footnote w:type="continuationNotice" w:id="1">
    <w:p w14:paraId="1F9185BC" w14:textId="77777777" w:rsidR="00B33BA2" w:rsidRDefault="00B33BA2"/>
  </w:footnote>
  <w:footnote w:id="2">
    <w:p w14:paraId="790FF8BC" w14:textId="77777777" w:rsidR="009D5621" w:rsidRPr="00B845BA" w:rsidRDefault="009D5621" w:rsidP="009D5621">
      <w:pPr>
        <w:pStyle w:val="FootnoteText"/>
        <w:spacing w:after="120"/>
        <w:ind w:firstLine="0"/>
        <w:rPr>
          <w:sz w:val="20"/>
          <w:szCs w:val="20"/>
        </w:rPr>
      </w:pPr>
      <w:r w:rsidRPr="006318E1">
        <w:rPr>
          <w:rStyle w:val="FootnoteReference"/>
          <w:rFonts w:eastAsia="Calibri"/>
          <w:szCs w:val="20"/>
        </w:rPr>
        <w:footnoteRef/>
      </w:r>
      <w:r w:rsidRPr="00B845BA">
        <w:rPr>
          <w:sz w:val="20"/>
          <w:szCs w:val="20"/>
        </w:rPr>
        <w:t xml:space="preserve"> </w:t>
      </w:r>
      <w:r w:rsidRPr="00B845BA">
        <w:rPr>
          <w:i/>
          <w:sz w:val="20"/>
          <w:szCs w:val="20"/>
        </w:rPr>
        <w:t xml:space="preserve">See </w:t>
      </w:r>
      <w:r w:rsidRPr="00B845BA">
        <w:rPr>
          <w:sz w:val="20"/>
          <w:szCs w:val="20"/>
        </w:rPr>
        <w:t>47 U.S.C. § 325(a).</w:t>
      </w:r>
    </w:p>
  </w:footnote>
  <w:footnote w:id="3">
    <w:p w14:paraId="74C64A57" w14:textId="77777777" w:rsidR="007340FD" w:rsidRDefault="007340FD" w:rsidP="007340FD">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C.F.R. § 11.45 (titled “False or Deceptive EAS Transmissions”).</w:t>
      </w:r>
    </w:p>
  </w:footnote>
  <w:footnote w:id="4">
    <w:p w14:paraId="761EEA28" w14:textId="1F8A6D52" w:rsidR="007340FD" w:rsidRDefault="007340FD" w:rsidP="007340FD">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w:t>
      </w:r>
      <w:r w:rsidR="009B6681">
        <w:rPr>
          <w:sz w:val="20"/>
          <w:szCs w:val="20"/>
        </w:rPr>
        <w:t xml:space="preserve">U.S.C. §§ 154(i), 154(j), 503(b); </w:t>
      </w:r>
      <w:r>
        <w:rPr>
          <w:sz w:val="20"/>
          <w:szCs w:val="20"/>
        </w:rPr>
        <w:t>C.F.R. §§ 0.111, 0.311.</w:t>
      </w:r>
    </w:p>
  </w:footnote>
  <w:footnote w:id="5">
    <w:p w14:paraId="6DCF494B" w14:textId="77777777" w:rsidR="00115BE4" w:rsidRPr="00B845BA" w:rsidRDefault="00115BE4" w:rsidP="00115BE4">
      <w:pPr>
        <w:pStyle w:val="FootnoteText"/>
        <w:spacing w:after="120"/>
        <w:ind w:firstLine="0"/>
        <w:rPr>
          <w:sz w:val="20"/>
          <w:szCs w:val="20"/>
        </w:rPr>
      </w:pPr>
      <w:r w:rsidRPr="006318E1">
        <w:rPr>
          <w:rStyle w:val="FootnoteReference"/>
          <w:rFonts w:eastAsia="Calibri"/>
          <w:szCs w:val="20"/>
        </w:rPr>
        <w:footnoteRef/>
      </w:r>
      <w:r w:rsidRPr="00B845BA">
        <w:rPr>
          <w:sz w:val="20"/>
          <w:szCs w:val="20"/>
        </w:rPr>
        <w:t xml:space="preserve"> </w:t>
      </w:r>
      <w:r w:rsidRPr="00B845BA">
        <w:rPr>
          <w:i/>
          <w:sz w:val="20"/>
          <w:szCs w:val="20"/>
        </w:rPr>
        <w:t xml:space="preserve">See </w:t>
      </w:r>
      <w:r w:rsidRPr="00B845BA">
        <w:rPr>
          <w:sz w:val="20"/>
          <w:szCs w:val="20"/>
        </w:rPr>
        <w:t>47 U.S.C. § 325(a).</w:t>
      </w:r>
    </w:p>
  </w:footnote>
  <w:footnote w:id="6">
    <w:p w14:paraId="443BB1BD" w14:textId="77777777" w:rsidR="00115BE4" w:rsidRDefault="00115BE4" w:rsidP="00115BE4">
      <w:pPr>
        <w:pStyle w:val="FootnoteText"/>
        <w:spacing w:after="120"/>
        <w:ind w:firstLine="0"/>
        <w:rPr>
          <w:sz w:val="20"/>
          <w:szCs w:val="20"/>
        </w:rPr>
      </w:pPr>
      <w:r w:rsidRPr="00030433">
        <w:rPr>
          <w:rStyle w:val="FootnoteReference"/>
          <w:szCs w:val="20"/>
        </w:rPr>
        <w:footnoteRef/>
      </w:r>
      <w:r w:rsidRPr="00030433">
        <w:rPr>
          <w:sz w:val="20"/>
          <w:szCs w:val="20"/>
        </w:rPr>
        <w:t xml:space="preserve"> </w:t>
      </w:r>
      <w:r w:rsidRPr="00030433">
        <w:rPr>
          <w:i/>
          <w:sz w:val="20"/>
          <w:szCs w:val="20"/>
        </w:rPr>
        <w:t>See</w:t>
      </w:r>
      <w:r w:rsidRPr="00030433">
        <w:rPr>
          <w:sz w:val="20"/>
          <w:szCs w:val="20"/>
        </w:rPr>
        <w:t xml:space="preserve"> 47 C.F.R. § 11.45.</w:t>
      </w:r>
    </w:p>
  </w:footnote>
  <w:footnote w:id="7">
    <w:p w14:paraId="411E844A" w14:textId="77777777" w:rsidR="00115BE4" w:rsidRPr="00B845BA" w:rsidRDefault="00115BE4" w:rsidP="00115BE4">
      <w:pPr>
        <w:pStyle w:val="FootnoteText"/>
        <w:spacing w:after="120"/>
        <w:ind w:firstLine="0"/>
        <w:rPr>
          <w:sz w:val="20"/>
          <w:szCs w:val="20"/>
        </w:rPr>
      </w:pPr>
      <w:r w:rsidRPr="00051646">
        <w:rPr>
          <w:rStyle w:val="FootnoteReference"/>
          <w:rFonts w:eastAsia="Calibri"/>
          <w:szCs w:val="20"/>
        </w:rPr>
        <w:footnoteRef/>
      </w:r>
      <w:r w:rsidRPr="00B845BA">
        <w:rPr>
          <w:sz w:val="20"/>
          <w:szCs w:val="20"/>
        </w:rPr>
        <w:t xml:space="preserve"> 47 U.S.C. § 325(a).</w:t>
      </w:r>
    </w:p>
  </w:footnote>
  <w:footnote w:id="8">
    <w:p w14:paraId="4AC5E28C" w14:textId="77777777" w:rsidR="00115BE4" w:rsidRPr="00B845BA" w:rsidRDefault="00115BE4" w:rsidP="00115BE4">
      <w:pPr>
        <w:pStyle w:val="FootnoteText"/>
        <w:spacing w:after="120"/>
        <w:ind w:firstLine="0"/>
        <w:rPr>
          <w:sz w:val="20"/>
          <w:szCs w:val="20"/>
        </w:rPr>
      </w:pPr>
      <w:r w:rsidRPr="00051646">
        <w:rPr>
          <w:rStyle w:val="FootnoteReference"/>
          <w:rFonts w:eastAsia="Calibri"/>
          <w:szCs w:val="20"/>
        </w:rPr>
        <w:footnoteRef/>
      </w:r>
      <w:r w:rsidRPr="00B845BA">
        <w:rPr>
          <w:sz w:val="20"/>
          <w:szCs w:val="20"/>
        </w:rPr>
        <w:t xml:space="preserve"> 47 C.F.R. § 11.45.</w:t>
      </w:r>
    </w:p>
  </w:footnote>
  <w:footnote w:id="9">
    <w:p w14:paraId="249102A2" w14:textId="77777777" w:rsidR="00115BE4" w:rsidRPr="00B845BA" w:rsidRDefault="00115BE4" w:rsidP="00115BE4">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AA6C6B">
        <w:rPr>
          <w:i/>
          <w:sz w:val="20"/>
          <w:szCs w:val="20"/>
        </w:rPr>
        <w:t>See</w:t>
      </w:r>
      <w:r w:rsidRPr="00460AAE">
        <w:rPr>
          <w:sz w:val="20"/>
          <w:szCs w:val="20"/>
        </w:rPr>
        <w:t xml:space="preserve"> Complaint, Form 2000A, Key No. 12-C004034150-1 (submitted on June 15, 2012) (on file in EB-13-IH-0059).</w:t>
      </w:r>
    </w:p>
  </w:footnote>
  <w:footnote w:id="10">
    <w:p w14:paraId="6A1EB84C" w14:textId="77777777" w:rsidR="00115BE4" w:rsidRPr="00B845BA" w:rsidRDefault="00115BE4" w:rsidP="00115BE4">
      <w:pPr>
        <w:pStyle w:val="FootnoteText"/>
        <w:spacing w:after="120"/>
        <w:ind w:firstLine="0"/>
        <w:rPr>
          <w:sz w:val="20"/>
          <w:szCs w:val="20"/>
        </w:rPr>
      </w:pPr>
      <w:r w:rsidRPr="00051646">
        <w:rPr>
          <w:rStyle w:val="FootnoteReference"/>
          <w:szCs w:val="20"/>
        </w:rPr>
        <w:footnoteRef/>
      </w:r>
      <w:r w:rsidRPr="00B845BA">
        <w:rPr>
          <w:sz w:val="20"/>
          <w:szCs w:val="20"/>
        </w:rPr>
        <w:t xml:space="preserve"> </w:t>
      </w:r>
      <w:r w:rsidRPr="00B845BA">
        <w:rPr>
          <w:i/>
          <w:sz w:val="20"/>
          <w:szCs w:val="20"/>
        </w:rPr>
        <w:t>Id</w:t>
      </w:r>
      <w:r w:rsidRPr="00B845BA">
        <w:rPr>
          <w:sz w:val="20"/>
          <w:szCs w:val="20"/>
        </w:rPr>
        <w:t>.</w:t>
      </w:r>
    </w:p>
  </w:footnote>
  <w:footnote w:id="11">
    <w:p w14:paraId="37912556" w14:textId="77777777" w:rsidR="00115BE4" w:rsidRPr="00B845BA" w:rsidRDefault="00115BE4" w:rsidP="00115BE4">
      <w:pPr>
        <w:pStyle w:val="FootnoteText"/>
        <w:spacing w:after="120"/>
        <w:ind w:firstLine="0"/>
        <w:rPr>
          <w:sz w:val="20"/>
          <w:szCs w:val="20"/>
        </w:rPr>
      </w:pPr>
      <w:r w:rsidRPr="00051646">
        <w:rPr>
          <w:rStyle w:val="FootnoteReference"/>
          <w:szCs w:val="20"/>
        </w:rPr>
        <w:footnoteRef/>
      </w:r>
      <w:r w:rsidRPr="00B845BA">
        <w:rPr>
          <w:sz w:val="20"/>
          <w:szCs w:val="20"/>
        </w:rPr>
        <w:t xml:space="preserve"> </w:t>
      </w:r>
      <w:r w:rsidRPr="00B845BA">
        <w:rPr>
          <w:i/>
          <w:sz w:val="20"/>
          <w:szCs w:val="20"/>
        </w:rPr>
        <w:t xml:space="preserve">See </w:t>
      </w:r>
      <w:r w:rsidRPr="00B845BA">
        <w:rPr>
          <w:sz w:val="20"/>
          <w:szCs w:val="20"/>
        </w:rPr>
        <w:t xml:space="preserve">Letter from Jeffrey J. Gee, Deputy Chief, Investigations and Hearings Division, Enforcement Bureau, to </w:t>
      </w:r>
      <w:r>
        <w:rPr>
          <w:sz w:val="20"/>
          <w:szCs w:val="20"/>
        </w:rPr>
        <w:t>MMK License LLC</w:t>
      </w:r>
      <w:r w:rsidRPr="00051646">
        <w:rPr>
          <w:sz w:val="20"/>
          <w:szCs w:val="20"/>
        </w:rPr>
        <w:t xml:space="preserve">, dated February </w:t>
      </w:r>
      <w:r>
        <w:rPr>
          <w:sz w:val="20"/>
          <w:szCs w:val="20"/>
        </w:rPr>
        <w:t>4</w:t>
      </w:r>
      <w:r w:rsidRPr="00B845BA">
        <w:rPr>
          <w:sz w:val="20"/>
          <w:szCs w:val="20"/>
        </w:rPr>
        <w:t xml:space="preserve">, </w:t>
      </w:r>
      <w:r w:rsidRPr="00124F1A">
        <w:rPr>
          <w:sz w:val="20"/>
          <w:szCs w:val="20"/>
        </w:rPr>
        <w:t>2013 (LOI) (on file</w:t>
      </w:r>
      <w:r>
        <w:rPr>
          <w:sz w:val="20"/>
          <w:szCs w:val="20"/>
        </w:rPr>
        <w:t xml:space="preserve"> in EB-13-IH-0059)</w:t>
      </w:r>
      <w:r w:rsidRPr="00B845BA">
        <w:rPr>
          <w:sz w:val="20"/>
          <w:szCs w:val="20"/>
        </w:rPr>
        <w:t>.</w:t>
      </w:r>
    </w:p>
  </w:footnote>
  <w:footnote w:id="12">
    <w:p w14:paraId="56521308" w14:textId="77777777" w:rsidR="00115BE4" w:rsidRPr="00B845BA" w:rsidRDefault="00115BE4" w:rsidP="00115BE4">
      <w:pPr>
        <w:pStyle w:val="FootnoteText"/>
        <w:spacing w:after="120"/>
        <w:ind w:firstLine="0"/>
        <w:rPr>
          <w:sz w:val="20"/>
          <w:szCs w:val="20"/>
        </w:rPr>
      </w:pPr>
      <w:r w:rsidRPr="00051646">
        <w:rPr>
          <w:rStyle w:val="FootnoteReference"/>
          <w:szCs w:val="20"/>
        </w:rPr>
        <w:footnoteRef/>
      </w:r>
      <w:r w:rsidRPr="00B845BA">
        <w:rPr>
          <w:sz w:val="20"/>
          <w:szCs w:val="20"/>
        </w:rPr>
        <w:t xml:space="preserve"> </w:t>
      </w:r>
      <w:r w:rsidRPr="00B845BA">
        <w:rPr>
          <w:i/>
          <w:sz w:val="20"/>
          <w:szCs w:val="20"/>
        </w:rPr>
        <w:t xml:space="preserve">See </w:t>
      </w:r>
      <w:r w:rsidRPr="00B845BA">
        <w:rPr>
          <w:sz w:val="20"/>
          <w:szCs w:val="20"/>
        </w:rPr>
        <w:t xml:space="preserve">Letter from </w:t>
      </w:r>
      <w:r>
        <w:rPr>
          <w:sz w:val="20"/>
          <w:szCs w:val="20"/>
        </w:rPr>
        <w:t>Erwin G. Krasnow, Counsel to MMK License LLC</w:t>
      </w:r>
      <w:r w:rsidRPr="00B845BA">
        <w:rPr>
          <w:sz w:val="20"/>
          <w:szCs w:val="20"/>
        </w:rPr>
        <w:t xml:space="preserve">, to </w:t>
      </w:r>
      <w:r>
        <w:rPr>
          <w:sz w:val="20"/>
          <w:szCs w:val="20"/>
        </w:rPr>
        <w:t>Marlene H. Dortch, Secretary</w:t>
      </w:r>
      <w:r w:rsidRPr="00B845BA">
        <w:rPr>
          <w:sz w:val="20"/>
          <w:szCs w:val="20"/>
        </w:rPr>
        <w:t>,</w:t>
      </w:r>
      <w:r>
        <w:rPr>
          <w:sz w:val="20"/>
          <w:szCs w:val="20"/>
        </w:rPr>
        <w:t xml:space="preserve"> Federal Communications Commission,</w:t>
      </w:r>
      <w:r w:rsidRPr="00051646">
        <w:rPr>
          <w:sz w:val="20"/>
          <w:szCs w:val="20"/>
        </w:rPr>
        <w:t xml:space="preserve"> dated February 2</w:t>
      </w:r>
      <w:r>
        <w:rPr>
          <w:sz w:val="20"/>
          <w:szCs w:val="20"/>
        </w:rPr>
        <w:t>7</w:t>
      </w:r>
      <w:r w:rsidRPr="00B845BA">
        <w:rPr>
          <w:sz w:val="20"/>
          <w:szCs w:val="20"/>
        </w:rPr>
        <w:t>, 2013 (LOI Response)</w:t>
      </w:r>
      <w:r>
        <w:rPr>
          <w:sz w:val="20"/>
          <w:szCs w:val="20"/>
        </w:rPr>
        <w:t xml:space="preserve"> (on file in EB-13-IH-0059)</w:t>
      </w:r>
      <w:r w:rsidRPr="00B845BA">
        <w:rPr>
          <w:sz w:val="20"/>
          <w:szCs w:val="20"/>
        </w:rPr>
        <w:t>.</w:t>
      </w:r>
    </w:p>
  </w:footnote>
  <w:footnote w:id="13">
    <w:p w14:paraId="25B0FBFD" w14:textId="77777777" w:rsidR="00115BE4" w:rsidRPr="00051646" w:rsidRDefault="00115BE4" w:rsidP="00115BE4">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051646">
        <w:rPr>
          <w:sz w:val="20"/>
          <w:szCs w:val="20"/>
        </w:rPr>
        <w:t>47 C.F.R. § 1.16.</w:t>
      </w:r>
    </w:p>
  </w:footnote>
  <w:footnote w:id="14">
    <w:p w14:paraId="11BFE9D6" w14:textId="77777777" w:rsidR="00115BE4" w:rsidRPr="00B845BA" w:rsidRDefault="00115BE4" w:rsidP="00115BE4">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051646">
        <w:rPr>
          <w:rFonts w:eastAsia="MS Mincho" w:cs="Arial"/>
          <w:sz w:val="20"/>
          <w:szCs w:val="20"/>
        </w:rPr>
        <w:t>An FCC Form 159 and detailed instructions for completing the form may be obtained at http://www.fcc.gov/Forms/Form159/159.pdf.</w:t>
      </w:r>
    </w:p>
  </w:footnote>
  <w:footnote w:id="15">
    <w:p w14:paraId="0A7A70D1" w14:textId="77777777" w:rsidR="00115BE4" w:rsidRDefault="00115BE4" w:rsidP="00115BE4">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051646">
        <w:rPr>
          <w:rFonts w:eastAsia="MS Mincho"/>
          <w:sz w:val="20"/>
          <w:szCs w:val="20"/>
        </w:rPr>
        <w:t xml:space="preserve">Should </w:t>
      </w:r>
      <w:r>
        <w:rPr>
          <w:rFonts w:eastAsia="MS Mincho"/>
          <w:sz w:val="20"/>
          <w:szCs w:val="20"/>
        </w:rPr>
        <w:t>MMK</w:t>
      </w:r>
      <w:r w:rsidRPr="00B845BA">
        <w:rPr>
          <w:rFonts w:eastAsia="MS Mincho"/>
          <w:sz w:val="20"/>
          <w:szCs w:val="20"/>
        </w:rPr>
        <w:t xml:space="preserve"> have questions regarding payment procedures, it should contact the Financial Operations</w:t>
      </w:r>
      <w:r>
        <w:rPr>
          <w:rFonts w:eastAsia="MS Mincho"/>
          <w:sz w:val="20"/>
          <w:szCs w:val="20"/>
        </w:rPr>
        <w:t xml:space="preserve"> Group Help Desk by phone at 1-877-480-3201, or by e</w:t>
      </w:r>
      <w:r>
        <w:rPr>
          <w:rFonts w:eastAsia="MS Mincho"/>
          <w:sz w:val="20"/>
          <w:szCs w:val="20"/>
        </w:rPr>
        <w:noBreakHyphen/>
        <w:t xml:space="preserve">mail at </w:t>
      </w:r>
      <w:r w:rsidRPr="001E4CA0">
        <w:rPr>
          <w:rFonts w:eastAsia="MS Mincho" w:cs="Arial"/>
          <w:sz w:val="20"/>
          <w:szCs w:val="20"/>
        </w:rPr>
        <w:t>ARINQUIRIES@fcc.gov</w:t>
      </w:r>
      <w:r>
        <w:rPr>
          <w:rFonts w:eastAsia="MS Mincho"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4365" w14:textId="77777777" w:rsidR="0069741E" w:rsidRDefault="00697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2705" w14:textId="515E271C" w:rsidR="009B6681" w:rsidRPr="009B6681" w:rsidRDefault="009B6681" w:rsidP="009B6681">
    <w:pPr>
      <w:widowControl w:val="0"/>
      <w:tabs>
        <w:tab w:val="center" w:pos="4680"/>
        <w:tab w:val="right" w:pos="9360"/>
      </w:tabs>
      <w:snapToGrid w:val="0"/>
      <w:rPr>
        <w:kern w:val="28"/>
        <w:sz w:val="22"/>
        <w:szCs w:val="22"/>
      </w:rPr>
    </w:pPr>
    <w:r>
      <w:rPr>
        <w:b/>
        <w:kern w:val="28"/>
        <w:sz w:val="22"/>
        <w:szCs w:val="22"/>
      </w:rPr>
      <w:tab/>
    </w:r>
    <w:r w:rsidRPr="009B6681">
      <w:rPr>
        <w:b/>
        <w:kern w:val="28"/>
        <w:sz w:val="22"/>
        <w:szCs w:val="22"/>
      </w:rPr>
      <w:t>Federal Communications Commission</w:t>
    </w:r>
    <w:r w:rsidRPr="009B6681">
      <w:rPr>
        <w:b/>
        <w:kern w:val="28"/>
        <w:sz w:val="22"/>
        <w:szCs w:val="22"/>
      </w:rPr>
      <w:tab/>
    </w:r>
    <w:r>
      <w:rPr>
        <w:b/>
        <w:kern w:val="28"/>
        <w:sz w:val="22"/>
        <w:szCs w:val="22"/>
      </w:rPr>
      <w:t>DA 13-</w:t>
    </w:r>
    <w:r w:rsidR="00C94CB5">
      <w:rPr>
        <w:b/>
        <w:kern w:val="28"/>
        <w:sz w:val="22"/>
        <w:szCs w:val="22"/>
      </w:rPr>
      <w:t>2124</w:t>
    </w:r>
  </w:p>
  <w:p w14:paraId="2431D2D5" w14:textId="3789342C" w:rsidR="009B6681" w:rsidRPr="009B6681" w:rsidRDefault="009B6681" w:rsidP="009B6681">
    <w:pPr>
      <w:widowControl w:val="0"/>
      <w:tabs>
        <w:tab w:val="center" w:pos="4680"/>
        <w:tab w:val="right" w:pos="9360"/>
      </w:tabs>
      <w:snapToGrid w:val="0"/>
      <w:rPr>
        <w:b/>
        <w:kern w:val="28"/>
        <w:sz w:val="22"/>
        <w:szCs w:val="20"/>
      </w:rPr>
    </w:pPr>
    <w:r w:rsidRPr="009B6681">
      <w:rPr>
        <w:b/>
        <w:noProof/>
        <w:kern w:val="28"/>
        <w:sz w:val="22"/>
        <w:szCs w:val="20"/>
      </w:rPr>
      <mc:AlternateContent>
        <mc:Choice Requires="wps">
          <w:drawing>
            <wp:anchor distT="0" distB="0" distL="114300" distR="114300" simplePos="0" relativeHeight="251661312" behindDoc="0" locked="0" layoutInCell="0" allowOverlap="1" wp14:anchorId="2D62C910" wp14:editId="41C82D93">
              <wp:simplePos x="0" y="0"/>
              <wp:positionH relativeFrom="column">
                <wp:posOffset>0</wp:posOffset>
              </wp:positionH>
              <wp:positionV relativeFrom="paragraph">
                <wp:posOffset>22225</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ISpYIhECAAAp&#10;BAAADgAAAAAAAAAAAAAAAAAuAgAAZHJzL2Uyb0RvYy54bWxQSwECLQAUAAYACAAAACEA7ikortgA&#10;AAAEAQAADwAAAAAAAAAAAAAAAABrBAAAZHJzL2Rvd25yZXYueG1sUEsFBgAAAAAEAAQA8wAAAHAF&#10;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E699E" w14:textId="392D98DB" w:rsidR="009B6681" w:rsidRPr="009B6681" w:rsidRDefault="009B6681" w:rsidP="009B6681">
    <w:pPr>
      <w:widowControl w:val="0"/>
      <w:tabs>
        <w:tab w:val="center" w:pos="4680"/>
        <w:tab w:val="right" w:pos="9360"/>
      </w:tabs>
      <w:snapToGrid w:val="0"/>
      <w:rPr>
        <w:kern w:val="28"/>
        <w:sz w:val="22"/>
        <w:szCs w:val="22"/>
      </w:rPr>
    </w:pPr>
    <w:r>
      <w:rPr>
        <w:b/>
        <w:kern w:val="28"/>
        <w:sz w:val="22"/>
        <w:szCs w:val="22"/>
      </w:rPr>
      <w:tab/>
    </w:r>
    <w:r w:rsidRPr="009B6681">
      <w:rPr>
        <w:b/>
        <w:kern w:val="28"/>
        <w:sz w:val="22"/>
        <w:szCs w:val="22"/>
      </w:rPr>
      <w:t>Feder</w:t>
    </w:r>
    <w:r>
      <w:rPr>
        <w:b/>
        <w:kern w:val="28"/>
        <w:sz w:val="22"/>
        <w:szCs w:val="22"/>
      </w:rPr>
      <w:t>al Communications Commission</w:t>
    </w:r>
    <w:r>
      <w:rPr>
        <w:b/>
        <w:kern w:val="28"/>
        <w:sz w:val="22"/>
        <w:szCs w:val="22"/>
      </w:rPr>
      <w:tab/>
      <w:t>DA</w:t>
    </w:r>
    <w:r w:rsidRPr="009B6681">
      <w:rPr>
        <w:b/>
        <w:kern w:val="28"/>
        <w:sz w:val="22"/>
        <w:szCs w:val="22"/>
      </w:rPr>
      <w:t xml:space="preserve"> 13-</w:t>
    </w:r>
    <w:r w:rsidR="00C94CB5">
      <w:rPr>
        <w:b/>
        <w:kern w:val="28"/>
        <w:sz w:val="22"/>
        <w:szCs w:val="22"/>
      </w:rPr>
      <w:t>2124</w:t>
    </w:r>
  </w:p>
  <w:p w14:paraId="16DFAC4C" w14:textId="426F899F" w:rsidR="009B6681" w:rsidRPr="009B6681" w:rsidRDefault="009B6681" w:rsidP="009B6681">
    <w:pPr>
      <w:widowControl w:val="0"/>
      <w:tabs>
        <w:tab w:val="center" w:pos="4680"/>
        <w:tab w:val="right" w:pos="9360"/>
      </w:tabs>
      <w:snapToGrid w:val="0"/>
      <w:rPr>
        <w:b/>
        <w:kern w:val="28"/>
        <w:sz w:val="22"/>
        <w:szCs w:val="20"/>
      </w:rPr>
    </w:pPr>
    <w:r w:rsidRPr="009B6681">
      <w:rPr>
        <w:b/>
        <w:noProof/>
        <w:kern w:val="28"/>
        <w:sz w:val="22"/>
        <w:szCs w:val="20"/>
      </w:rPr>
      <mc:AlternateContent>
        <mc:Choice Requires="wps">
          <w:drawing>
            <wp:anchor distT="0" distB="0" distL="114300" distR="114300" simplePos="0" relativeHeight="251659264" behindDoc="0" locked="0" layoutInCell="0" allowOverlap="1" wp14:anchorId="0AF0EA05" wp14:editId="574E7837">
              <wp:simplePos x="0" y="0"/>
              <wp:positionH relativeFrom="column">
                <wp:posOffset>0</wp:posOffset>
              </wp:positionH>
              <wp:positionV relativeFrom="paragraph">
                <wp:posOffset>22225</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mpD7M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F8786C"/>
    <w:lvl w:ilvl="0">
      <w:start w:val="2"/>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0"/>
        </w:tabs>
        <w:ind w:left="0" w:firstLine="1008"/>
      </w:pPr>
      <w:rPr>
        <w:rFonts w:hint="default"/>
        <w:color w:val="000000"/>
        <w:position w:val="0"/>
        <w:sz w:val="22"/>
      </w:rPr>
    </w:lvl>
    <w:lvl w:ilvl="1">
      <w:start w:val="1"/>
      <w:numFmt w:val="lowerLetter"/>
      <w:lvlText w:val="%2."/>
      <w:lvlJc w:val="left"/>
      <w:pPr>
        <w:tabs>
          <w:tab w:val="num" w:pos="-72"/>
        </w:tabs>
        <w:ind w:left="-72" w:firstLine="1080"/>
      </w:pPr>
      <w:rPr>
        <w:rFonts w:hint="default"/>
        <w:color w:val="000000"/>
        <w:position w:val="0"/>
        <w:sz w:val="24"/>
      </w:rPr>
    </w:lvl>
    <w:lvl w:ilvl="2">
      <w:start w:val="1"/>
      <w:numFmt w:val="lowerRoman"/>
      <w:lvlText w:val="%3."/>
      <w:lvlJc w:val="left"/>
      <w:pPr>
        <w:tabs>
          <w:tab w:val="num" w:pos="-72"/>
        </w:tabs>
        <w:ind w:left="-72" w:firstLine="1800"/>
      </w:pPr>
      <w:rPr>
        <w:rFonts w:hint="default"/>
        <w:color w:val="000000"/>
        <w:position w:val="0"/>
        <w:sz w:val="24"/>
      </w:rPr>
    </w:lvl>
    <w:lvl w:ilvl="3">
      <w:start w:val="1"/>
      <w:numFmt w:val="decimal"/>
      <w:isLgl/>
      <w:lvlText w:val="%4."/>
      <w:lvlJc w:val="left"/>
      <w:pPr>
        <w:tabs>
          <w:tab w:val="num" w:pos="-72"/>
        </w:tabs>
        <w:ind w:left="-72" w:firstLine="2520"/>
      </w:pPr>
      <w:rPr>
        <w:rFonts w:hint="default"/>
        <w:color w:val="000000"/>
        <w:position w:val="0"/>
        <w:sz w:val="24"/>
      </w:rPr>
    </w:lvl>
    <w:lvl w:ilvl="4">
      <w:start w:val="1"/>
      <w:numFmt w:val="lowerLetter"/>
      <w:lvlText w:val="%5."/>
      <w:lvlJc w:val="left"/>
      <w:pPr>
        <w:tabs>
          <w:tab w:val="num" w:pos="-72"/>
        </w:tabs>
        <w:ind w:left="-72" w:firstLine="3240"/>
      </w:pPr>
      <w:rPr>
        <w:rFonts w:hint="default"/>
        <w:color w:val="000000"/>
        <w:position w:val="0"/>
        <w:sz w:val="24"/>
      </w:rPr>
    </w:lvl>
    <w:lvl w:ilvl="5">
      <w:start w:val="1"/>
      <w:numFmt w:val="lowerRoman"/>
      <w:lvlText w:val="%6."/>
      <w:lvlJc w:val="left"/>
      <w:pPr>
        <w:tabs>
          <w:tab w:val="num" w:pos="-72"/>
        </w:tabs>
        <w:ind w:left="-72" w:firstLine="3960"/>
      </w:pPr>
      <w:rPr>
        <w:rFonts w:hint="default"/>
        <w:color w:val="000000"/>
        <w:position w:val="0"/>
        <w:sz w:val="24"/>
      </w:rPr>
    </w:lvl>
    <w:lvl w:ilvl="6">
      <w:start w:val="1"/>
      <w:numFmt w:val="decimal"/>
      <w:isLgl/>
      <w:lvlText w:val="%7."/>
      <w:lvlJc w:val="left"/>
      <w:pPr>
        <w:tabs>
          <w:tab w:val="num" w:pos="-72"/>
        </w:tabs>
        <w:ind w:left="-72" w:firstLine="4680"/>
      </w:pPr>
      <w:rPr>
        <w:rFonts w:hint="default"/>
        <w:color w:val="000000"/>
        <w:position w:val="0"/>
        <w:sz w:val="24"/>
      </w:rPr>
    </w:lvl>
    <w:lvl w:ilvl="7">
      <w:start w:val="1"/>
      <w:numFmt w:val="lowerLetter"/>
      <w:lvlText w:val="%8."/>
      <w:lvlJc w:val="left"/>
      <w:pPr>
        <w:tabs>
          <w:tab w:val="num" w:pos="-72"/>
        </w:tabs>
        <w:ind w:left="-72" w:firstLine="5400"/>
      </w:pPr>
      <w:rPr>
        <w:rFonts w:hint="default"/>
        <w:color w:val="000000"/>
        <w:position w:val="0"/>
        <w:sz w:val="24"/>
      </w:rPr>
    </w:lvl>
    <w:lvl w:ilvl="8">
      <w:start w:val="1"/>
      <w:numFmt w:val="lowerRoman"/>
      <w:lvlText w:val="%9."/>
      <w:lvlJc w:val="left"/>
      <w:pPr>
        <w:tabs>
          <w:tab w:val="num" w:pos="-72"/>
        </w:tabs>
        <w:ind w:left="-72" w:firstLine="6120"/>
      </w:pPr>
      <w:rPr>
        <w:rFonts w:hint="default"/>
        <w:color w:val="000000"/>
        <w:position w:val="0"/>
        <w:sz w:val="24"/>
      </w:rPr>
    </w:lvl>
  </w:abstractNum>
  <w:abstractNum w:abstractNumId="2">
    <w:nsid w:val="08E600E7"/>
    <w:multiLevelType w:val="hybridMultilevel"/>
    <w:tmpl w:val="8690BAB4"/>
    <w:lvl w:ilvl="0" w:tplc="2ECEDAEE">
      <w:start w:val="1"/>
      <w:numFmt w:val="decimal"/>
      <w:lvlText w:val="%1."/>
      <w:lvlJc w:val="left"/>
      <w:pPr>
        <w:tabs>
          <w:tab w:val="num" w:pos="1620"/>
        </w:tabs>
        <w:ind w:left="162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907F2C"/>
    <w:multiLevelType w:val="hybridMultilevel"/>
    <w:tmpl w:val="3ADA1FF2"/>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8B23FF6"/>
    <w:multiLevelType w:val="hybridMultilevel"/>
    <w:tmpl w:val="F9467750"/>
    <w:lvl w:ilvl="0" w:tplc="BFE2D768">
      <w:start w:val="2"/>
      <w:numFmt w:val="decimal"/>
      <w:lvlText w:val="%1."/>
      <w:lvlJc w:val="left"/>
      <w:pPr>
        <w:tabs>
          <w:tab w:val="num" w:pos="216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59DB63B8"/>
    <w:multiLevelType w:val="multilevel"/>
    <w:tmpl w:val="D2DA7DA6"/>
    <w:lvl w:ilvl="0">
      <w:start w:val="5"/>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61182925"/>
    <w:multiLevelType w:val="singleLevel"/>
    <w:tmpl w:val="1C36937A"/>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8">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abstractNum w:abstractNumId="10">
    <w:nsid w:val="70F9621C"/>
    <w:multiLevelType w:val="hybridMultilevel"/>
    <w:tmpl w:val="9DF69054"/>
    <w:lvl w:ilvl="0" w:tplc="FFFFFFFF">
      <w:start w:val="1"/>
      <w:numFmt w:val="lowerLetter"/>
      <w:lvlText w:val="(%1)"/>
      <w:lvlJc w:val="left"/>
      <w:pPr>
        <w:tabs>
          <w:tab w:val="num" w:pos="1800"/>
        </w:tabs>
        <w:ind w:left="1800" w:hanging="360"/>
      </w:pPr>
      <w:rPr>
        <w:rFonts w:cs="Times New Roman" w:hint="default"/>
        <w:b w:val="0"/>
        <w:i w:val="0"/>
        <w:sz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8495135"/>
    <w:multiLevelType w:val="hybridMultilevel"/>
    <w:tmpl w:val="58AC472E"/>
    <w:lvl w:ilvl="0" w:tplc="8DFEC926">
      <w:start w:val="1"/>
      <w:numFmt w:val="lowerLetter"/>
      <w:lvlText w:val="%1."/>
      <w:lvlJc w:val="left"/>
      <w:pPr>
        <w:tabs>
          <w:tab w:val="num" w:pos="2340"/>
        </w:tabs>
        <w:ind w:left="2340" w:hanging="360"/>
      </w:pPr>
      <w:rPr>
        <w:rFonts w:hint="default"/>
        <w:b w:val="0"/>
      </w:rPr>
    </w:lvl>
    <w:lvl w:ilvl="1" w:tplc="3574EEE0">
      <w:start w:val="1"/>
      <w:numFmt w:val="lowerLetter"/>
      <w:lvlText w:val="%2."/>
      <w:lvlJc w:val="left"/>
      <w:pPr>
        <w:tabs>
          <w:tab w:val="num" w:pos="2700"/>
        </w:tabs>
        <w:ind w:left="2700" w:hanging="360"/>
      </w:pPr>
    </w:lvl>
    <w:lvl w:ilvl="2" w:tplc="B3206D3C" w:tentative="1">
      <w:start w:val="1"/>
      <w:numFmt w:val="lowerRoman"/>
      <w:lvlText w:val="%3."/>
      <w:lvlJc w:val="right"/>
      <w:pPr>
        <w:tabs>
          <w:tab w:val="num" w:pos="3420"/>
        </w:tabs>
        <w:ind w:left="3420" w:hanging="180"/>
      </w:pPr>
    </w:lvl>
    <w:lvl w:ilvl="3" w:tplc="3398B41A" w:tentative="1">
      <w:start w:val="1"/>
      <w:numFmt w:val="decimal"/>
      <w:lvlText w:val="%4."/>
      <w:lvlJc w:val="left"/>
      <w:pPr>
        <w:tabs>
          <w:tab w:val="num" w:pos="4140"/>
        </w:tabs>
        <w:ind w:left="4140" w:hanging="360"/>
      </w:pPr>
    </w:lvl>
    <w:lvl w:ilvl="4" w:tplc="DBF27058" w:tentative="1">
      <w:start w:val="1"/>
      <w:numFmt w:val="lowerLetter"/>
      <w:lvlText w:val="%5."/>
      <w:lvlJc w:val="left"/>
      <w:pPr>
        <w:tabs>
          <w:tab w:val="num" w:pos="4860"/>
        </w:tabs>
        <w:ind w:left="4860" w:hanging="360"/>
      </w:pPr>
    </w:lvl>
    <w:lvl w:ilvl="5" w:tplc="418E3724" w:tentative="1">
      <w:start w:val="1"/>
      <w:numFmt w:val="lowerRoman"/>
      <w:lvlText w:val="%6."/>
      <w:lvlJc w:val="right"/>
      <w:pPr>
        <w:tabs>
          <w:tab w:val="num" w:pos="5580"/>
        </w:tabs>
        <w:ind w:left="5580" w:hanging="180"/>
      </w:pPr>
    </w:lvl>
    <w:lvl w:ilvl="6" w:tplc="AFB64F8C" w:tentative="1">
      <w:start w:val="1"/>
      <w:numFmt w:val="decimal"/>
      <w:lvlText w:val="%7."/>
      <w:lvlJc w:val="left"/>
      <w:pPr>
        <w:tabs>
          <w:tab w:val="num" w:pos="6300"/>
        </w:tabs>
        <w:ind w:left="6300" w:hanging="360"/>
      </w:pPr>
    </w:lvl>
    <w:lvl w:ilvl="7" w:tplc="12FEEA06" w:tentative="1">
      <w:start w:val="1"/>
      <w:numFmt w:val="lowerLetter"/>
      <w:lvlText w:val="%8."/>
      <w:lvlJc w:val="left"/>
      <w:pPr>
        <w:tabs>
          <w:tab w:val="num" w:pos="7020"/>
        </w:tabs>
        <w:ind w:left="7020" w:hanging="360"/>
      </w:pPr>
    </w:lvl>
    <w:lvl w:ilvl="8" w:tplc="818C729E" w:tentative="1">
      <w:start w:val="1"/>
      <w:numFmt w:val="lowerRoman"/>
      <w:lvlText w:val="%9."/>
      <w:lvlJc w:val="right"/>
      <w:pPr>
        <w:tabs>
          <w:tab w:val="num" w:pos="7740"/>
        </w:tabs>
        <w:ind w:left="7740" w:hanging="180"/>
      </w:pPr>
    </w:lvl>
  </w:abstractNum>
  <w:num w:numId="1">
    <w:abstractNumId w:val="9"/>
  </w:num>
  <w:num w:numId="2">
    <w:abstractNumId w:val="8"/>
  </w:num>
  <w:num w:numId="3">
    <w:abstractNumId w:val="3"/>
  </w:num>
  <w:num w:numId="4">
    <w:abstractNumId w:val="4"/>
  </w:num>
  <w:num w:numId="5">
    <w:abstractNumId w:val="0"/>
  </w:num>
  <w:num w:numId="6">
    <w:abstractNumId w:val="1"/>
  </w:num>
  <w:num w:numId="7">
    <w:abstractNumId w:val="11"/>
  </w:num>
  <w:num w:numId="8">
    <w:abstractNumId w:val="6"/>
  </w:num>
  <w:num w:numId="9">
    <w:abstractNumId w:val="7"/>
  </w:num>
  <w:num w:numId="10">
    <w:abstractNumId w:val="2"/>
  </w:num>
  <w:num w:numId="11">
    <w:abstractNumId w:val="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865"/>
    <w:rsid w:val="000030BC"/>
    <w:rsid w:val="00014A74"/>
    <w:rsid w:val="00015AC5"/>
    <w:rsid w:val="00030433"/>
    <w:rsid w:val="00037581"/>
    <w:rsid w:val="00037B17"/>
    <w:rsid w:val="00051646"/>
    <w:rsid w:val="00056AC1"/>
    <w:rsid w:val="00057685"/>
    <w:rsid w:val="00060E66"/>
    <w:rsid w:val="000668D1"/>
    <w:rsid w:val="000669C2"/>
    <w:rsid w:val="000849D2"/>
    <w:rsid w:val="00097FA3"/>
    <w:rsid w:val="000B33B1"/>
    <w:rsid w:val="000C4F06"/>
    <w:rsid w:val="000E5F5D"/>
    <w:rsid w:val="0011365C"/>
    <w:rsid w:val="00115BE4"/>
    <w:rsid w:val="00124F1A"/>
    <w:rsid w:val="00134D24"/>
    <w:rsid w:val="00161F7E"/>
    <w:rsid w:val="001814FC"/>
    <w:rsid w:val="001841D6"/>
    <w:rsid w:val="00187E8D"/>
    <w:rsid w:val="001C4125"/>
    <w:rsid w:val="001C5189"/>
    <w:rsid w:val="001D44C1"/>
    <w:rsid w:val="001E3569"/>
    <w:rsid w:val="001F474E"/>
    <w:rsid w:val="002065C4"/>
    <w:rsid w:val="00246635"/>
    <w:rsid w:val="002508F4"/>
    <w:rsid w:val="00273E7A"/>
    <w:rsid w:val="00273FE7"/>
    <w:rsid w:val="00275FDF"/>
    <w:rsid w:val="00297898"/>
    <w:rsid w:val="002A3ABA"/>
    <w:rsid w:val="002B128B"/>
    <w:rsid w:val="002B135C"/>
    <w:rsid w:val="002E70F1"/>
    <w:rsid w:val="002E74CE"/>
    <w:rsid w:val="002F055B"/>
    <w:rsid w:val="002F5B09"/>
    <w:rsid w:val="0033244A"/>
    <w:rsid w:val="0035770E"/>
    <w:rsid w:val="003650EB"/>
    <w:rsid w:val="003654D4"/>
    <w:rsid w:val="003956AC"/>
    <w:rsid w:val="003A293B"/>
    <w:rsid w:val="003B1252"/>
    <w:rsid w:val="003D25F3"/>
    <w:rsid w:val="003D6292"/>
    <w:rsid w:val="003F4395"/>
    <w:rsid w:val="00412B3A"/>
    <w:rsid w:val="004305CA"/>
    <w:rsid w:val="00434F59"/>
    <w:rsid w:val="004352A5"/>
    <w:rsid w:val="00447BBF"/>
    <w:rsid w:val="004504F0"/>
    <w:rsid w:val="00460AAE"/>
    <w:rsid w:val="004627BD"/>
    <w:rsid w:val="004954F7"/>
    <w:rsid w:val="004F6606"/>
    <w:rsid w:val="0051093A"/>
    <w:rsid w:val="00514467"/>
    <w:rsid w:val="00532D97"/>
    <w:rsid w:val="005A1841"/>
    <w:rsid w:val="005A380C"/>
    <w:rsid w:val="005A56A6"/>
    <w:rsid w:val="005B4EEE"/>
    <w:rsid w:val="005C2E1B"/>
    <w:rsid w:val="006042F9"/>
    <w:rsid w:val="006254B2"/>
    <w:rsid w:val="00625865"/>
    <w:rsid w:val="00625E79"/>
    <w:rsid w:val="006318E1"/>
    <w:rsid w:val="00634AF2"/>
    <w:rsid w:val="00653598"/>
    <w:rsid w:val="0069741E"/>
    <w:rsid w:val="006E344D"/>
    <w:rsid w:val="006E7585"/>
    <w:rsid w:val="0071078A"/>
    <w:rsid w:val="00713DAF"/>
    <w:rsid w:val="0071525F"/>
    <w:rsid w:val="0072056F"/>
    <w:rsid w:val="007212A8"/>
    <w:rsid w:val="00727604"/>
    <w:rsid w:val="00734083"/>
    <w:rsid w:val="007340FD"/>
    <w:rsid w:val="0075286C"/>
    <w:rsid w:val="00752A7A"/>
    <w:rsid w:val="0076725C"/>
    <w:rsid w:val="0077108D"/>
    <w:rsid w:val="00794A46"/>
    <w:rsid w:val="007A1146"/>
    <w:rsid w:val="007B5C09"/>
    <w:rsid w:val="007D2D10"/>
    <w:rsid w:val="008129A3"/>
    <w:rsid w:val="00813254"/>
    <w:rsid w:val="008414F7"/>
    <w:rsid w:val="00877ACE"/>
    <w:rsid w:val="008863BA"/>
    <w:rsid w:val="00894287"/>
    <w:rsid w:val="008A3B9A"/>
    <w:rsid w:val="008C1F71"/>
    <w:rsid w:val="008D407A"/>
    <w:rsid w:val="008D4B09"/>
    <w:rsid w:val="008D5A40"/>
    <w:rsid w:val="008D6D53"/>
    <w:rsid w:val="008E6596"/>
    <w:rsid w:val="008F5FDB"/>
    <w:rsid w:val="008F6E5A"/>
    <w:rsid w:val="00950631"/>
    <w:rsid w:val="0095605B"/>
    <w:rsid w:val="009837B8"/>
    <w:rsid w:val="00990192"/>
    <w:rsid w:val="009A021D"/>
    <w:rsid w:val="009A05F7"/>
    <w:rsid w:val="009B6681"/>
    <w:rsid w:val="009D5621"/>
    <w:rsid w:val="009F3E01"/>
    <w:rsid w:val="009F7E49"/>
    <w:rsid w:val="00A0475F"/>
    <w:rsid w:val="00A15981"/>
    <w:rsid w:val="00A3381F"/>
    <w:rsid w:val="00A566C3"/>
    <w:rsid w:val="00A976D5"/>
    <w:rsid w:val="00AA6C6B"/>
    <w:rsid w:val="00AD0210"/>
    <w:rsid w:val="00AE0307"/>
    <w:rsid w:val="00AE79C7"/>
    <w:rsid w:val="00B050C9"/>
    <w:rsid w:val="00B07C8A"/>
    <w:rsid w:val="00B33BA2"/>
    <w:rsid w:val="00B82E61"/>
    <w:rsid w:val="00B845BA"/>
    <w:rsid w:val="00B85556"/>
    <w:rsid w:val="00BA13CD"/>
    <w:rsid w:val="00BA2BDC"/>
    <w:rsid w:val="00BB0E75"/>
    <w:rsid w:val="00BF45E0"/>
    <w:rsid w:val="00C062D9"/>
    <w:rsid w:val="00C11CC5"/>
    <w:rsid w:val="00C34CAF"/>
    <w:rsid w:val="00C46340"/>
    <w:rsid w:val="00C55F72"/>
    <w:rsid w:val="00C60426"/>
    <w:rsid w:val="00C67F38"/>
    <w:rsid w:val="00C80D39"/>
    <w:rsid w:val="00C94CB5"/>
    <w:rsid w:val="00CA3A51"/>
    <w:rsid w:val="00CC28AD"/>
    <w:rsid w:val="00CC49BA"/>
    <w:rsid w:val="00CC7649"/>
    <w:rsid w:val="00CD6699"/>
    <w:rsid w:val="00CE6BD5"/>
    <w:rsid w:val="00CE7FF8"/>
    <w:rsid w:val="00CF7614"/>
    <w:rsid w:val="00D1467A"/>
    <w:rsid w:val="00D2073B"/>
    <w:rsid w:val="00D207CA"/>
    <w:rsid w:val="00D35F34"/>
    <w:rsid w:val="00D43595"/>
    <w:rsid w:val="00D55F31"/>
    <w:rsid w:val="00D7398B"/>
    <w:rsid w:val="00D8155A"/>
    <w:rsid w:val="00D96618"/>
    <w:rsid w:val="00D97D5B"/>
    <w:rsid w:val="00DA556D"/>
    <w:rsid w:val="00DD3B86"/>
    <w:rsid w:val="00DE1935"/>
    <w:rsid w:val="00DF3BBC"/>
    <w:rsid w:val="00DF5931"/>
    <w:rsid w:val="00E23BB2"/>
    <w:rsid w:val="00E2445A"/>
    <w:rsid w:val="00E64B3E"/>
    <w:rsid w:val="00E86325"/>
    <w:rsid w:val="00E951A3"/>
    <w:rsid w:val="00EB34B2"/>
    <w:rsid w:val="00EB400F"/>
    <w:rsid w:val="00EB6A1E"/>
    <w:rsid w:val="00ED0589"/>
    <w:rsid w:val="00EE09DF"/>
    <w:rsid w:val="00EF5CE0"/>
    <w:rsid w:val="00F01EE3"/>
    <w:rsid w:val="00F1776A"/>
    <w:rsid w:val="00F2422E"/>
    <w:rsid w:val="00F52D5F"/>
    <w:rsid w:val="00F541C1"/>
    <w:rsid w:val="00F80B6B"/>
    <w:rsid w:val="00F9469D"/>
    <w:rsid w:val="00F97CF3"/>
    <w:rsid w:val="00FA3C9F"/>
    <w:rsid w:val="00FD4A05"/>
    <w:rsid w:val="00FD506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basedOn w:val="Normal"/>
    <w:link w:val="FootnoteTextChar1"/>
    <w:semiHidden/>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Pr>
      <w:sz w:val="24"/>
      <w:szCs w:val="24"/>
      <w:lang w:val="en-US" w:eastAsia="en-US" w:bidi="ar-SA"/>
    </w:rPr>
  </w:style>
  <w:style w:type="paragraph" w:customStyle="1" w:styleId="par1">
    <w:name w:val="par1"/>
    <w:basedOn w:val="Normal"/>
    <w:link w:val="par1Char"/>
    <w:pPr>
      <w:numPr>
        <w:numId w:val="1"/>
      </w:numPr>
    </w:pPr>
    <w:rPr>
      <w:sz w:val="22"/>
      <w:szCs w:val="20"/>
    </w:r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szCs w:val="20"/>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Pr>
      <w:color w:val="0000FF"/>
      <w:u w:val="single"/>
    </w:rPr>
  </w:style>
  <w:style w:type="paragraph" w:customStyle="1" w:styleId="ParaNum">
    <w:name w:val="ParaNum"/>
    <w:basedOn w:val="Normal"/>
    <w:link w:val="ParaNumChar0"/>
    <w:pPr>
      <w:widowControl w:val="0"/>
      <w:numPr>
        <w:numId w:val="9"/>
      </w:numPr>
      <w:spacing w:after="120"/>
    </w:pPr>
    <w:rPr>
      <w:snapToGrid w:val="0"/>
      <w:kern w:val="28"/>
      <w:sz w:val="22"/>
      <w:szCs w:val="20"/>
    </w:r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lang w:val="en-US" w:eastAsia="en-US" w:bidi="ar-SA"/>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b/>
      <w:sz w:val="22"/>
      <w:szCs w:val="24"/>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basedOn w:val="Normal"/>
    <w:link w:val="FootnoteTextChar1"/>
    <w:semiHidden/>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Pr>
      <w:sz w:val="24"/>
      <w:szCs w:val="24"/>
      <w:lang w:val="en-US" w:eastAsia="en-US" w:bidi="ar-SA"/>
    </w:rPr>
  </w:style>
  <w:style w:type="paragraph" w:customStyle="1" w:styleId="par1">
    <w:name w:val="par1"/>
    <w:basedOn w:val="Normal"/>
    <w:link w:val="par1Char"/>
    <w:pPr>
      <w:numPr>
        <w:numId w:val="1"/>
      </w:numPr>
    </w:pPr>
    <w:rPr>
      <w:sz w:val="22"/>
      <w:szCs w:val="20"/>
    </w:r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szCs w:val="20"/>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Pr>
      <w:color w:val="0000FF"/>
      <w:u w:val="single"/>
    </w:rPr>
  </w:style>
  <w:style w:type="paragraph" w:customStyle="1" w:styleId="ParaNum">
    <w:name w:val="ParaNum"/>
    <w:basedOn w:val="Normal"/>
    <w:link w:val="ParaNumChar0"/>
    <w:pPr>
      <w:widowControl w:val="0"/>
      <w:numPr>
        <w:numId w:val="9"/>
      </w:numPr>
      <w:spacing w:after="120"/>
    </w:pPr>
    <w:rPr>
      <w:snapToGrid w:val="0"/>
      <w:kern w:val="28"/>
      <w:sz w:val="22"/>
      <w:szCs w:val="20"/>
    </w:r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lang w:val="en-US" w:eastAsia="en-US" w:bidi="ar-SA"/>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b/>
      <w:sz w:val="22"/>
      <w:szCs w:val="24"/>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3615">
      <w:bodyDiv w:val="1"/>
      <w:marLeft w:val="0"/>
      <w:marRight w:val="0"/>
      <w:marTop w:val="0"/>
      <w:marBottom w:val="0"/>
      <w:divBdr>
        <w:top w:val="none" w:sz="0" w:space="0" w:color="auto"/>
        <w:left w:val="none" w:sz="0" w:space="0" w:color="auto"/>
        <w:bottom w:val="none" w:sz="0" w:space="0" w:color="auto"/>
        <w:right w:val="none" w:sz="0" w:space="0" w:color="auto"/>
      </w:divBdr>
    </w:div>
    <w:div w:id="858467871">
      <w:bodyDiv w:val="1"/>
      <w:marLeft w:val="0"/>
      <w:marRight w:val="0"/>
      <w:marTop w:val="0"/>
      <w:marBottom w:val="0"/>
      <w:divBdr>
        <w:top w:val="none" w:sz="0" w:space="0" w:color="auto"/>
        <w:left w:val="none" w:sz="0" w:space="0" w:color="auto"/>
        <w:bottom w:val="none" w:sz="0" w:space="0" w:color="auto"/>
        <w:right w:val="none" w:sz="0" w:space="0" w:color="auto"/>
      </w:divBdr>
    </w:div>
    <w:div w:id="1340347398">
      <w:bodyDiv w:val="1"/>
      <w:marLeft w:val="0"/>
      <w:marRight w:val="0"/>
      <w:marTop w:val="0"/>
      <w:marBottom w:val="0"/>
      <w:divBdr>
        <w:top w:val="none" w:sz="0" w:space="0" w:color="auto"/>
        <w:left w:val="none" w:sz="0" w:space="0" w:color="auto"/>
        <w:bottom w:val="none" w:sz="0" w:space="0" w:color="auto"/>
        <w:right w:val="none" w:sz="0" w:space="0" w:color="auto"/>
      </w:divBdr>
    </w:div>
    <w:div w:id="20527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4878</Words>
  <Characters>26774</Characters>
  <Application>Microsoft Office Word</Application>
  <DocSecurity>0</DocSecurity>
  <Lines>518</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31751</CharactersWithSpaces>
  <SharedDoc>false</SharedDoc>
  <HyperlinkBase> </HyperlinkBase>
  <HLinks>
    <vt:vector size="78" baseType="variant">
      <vt:variant>
        <vt:i4>5439570</vt:i4>
      </vt:variant>
      <vt:variant>
        <vt:i4>36</vt:i4>
      </vt:variant>
      <vt:variant>
        <vt:i4>0</vt:i4>
      </vt:variant>
      <vt:variant>
        <vt:i4>5</vt:i4>
      </vt:variant>
      <vt:variant>
        <vt:lpwstr>http://www.wnkv.net/</vt:lpwstr>
      </vt:variant>
      <vt:variant>
        <vt:lpwstr/>
      </vt:variant>
      <vt:variant>
        <vt:i4>2752607</vt:i4>
      </vt:variant>
      <vt:variant>
        <vt:i4>33</vt:i4>
      </vt:variant>
      <vt:variant>
        <vt:i4>0</vt:i4>
      </vt:variant>
      <vt:variant>
        <vt:i4>5</vt:i4>
      </vt:variant>
      <vt:variant>
        <vt:lpwstr>mailto:Jennifer.Lewis@fcc.gov</vt:lpwstr>
      </vt:variant>
      <vt:variant>
        <vt:lpwstr/>
      </vt:variant>
      <vt:variant>
        <vt:i4>2031729</vt:i4>
      </vt:variant>
      <vt:variant>
        <vt:i4>30</vt:i4>
      </vt:variant>
      <vt:variant>
        <vt:i4>0</vt:i4>
      </vt:variant>
      <vt:variant>
        <vt:i4>5</vt:i4>
      </vt:variant>
      <vt:variant>
        <vt:lpwstr>mailto:Kenneth.Scheibel@fcc.gov</vt:lpwstr>
      </vt:variant>
      <vt:variant>
        <vt:lpwstr/>
      </vt:variant>
      <vt:variant>
        <vt:i4>7536645</vt:i4>
      </vt:variant>
      <vt:variant>
        <vt:i4>27</vt:i4>
      </vt:variant>
      <vt:variant>
        <vt:i4>0</vt:i4>
      </vt:variant>
      <vt:variant>
        <vt:i4>5</vt:i4>
      </vt:variant>
      <vt:variant>
        <vt:lpwstr>mailto:Jeffrey.Gee@fcc.gov</vt:lpwstr>
      </vt:variant>
      <vt:variant>
        <vt:lpwstr/>
      </vt:variant>
      <vt:variant>
        <vt:i4>7274519</vt:i4>
      </vt:variant>
      <vt:variant>
        <vt:i4>24</vt:i4>
      </vt:variant>
      <vt:variant>
        <vt:i4>0</vt:i4>
      </vt:variant>
      <vt:variant>
        <vt:i4>5</vt:i4>
      </vt:variant>
      <vt:variant>
        <vt:lpwstr>mailto:Terry.Cavanaugh@fcc.gov</vt:lpwstr>
      </vt:variant>
      <vt:variant>
        <vt:lpwstr/>
      </vt:variant>
      <vt:variant>
        <vt:i4>2031729</vt:i4>
      </vt:variant>
      <vt:variant>
        <vt:i4>21</vt:i4>
      </vt:variant>
      <vt:variant>
        <vt:i4>0</vt:i4>
      </vt:variant>
      <vt:variant>
        <vt:i4>5</vt:i4>
      </vt:variant>
      <vt:variant>
        <vt:lpwstr>mailto:Kenneth.Scheibel@fcc.gov</vt:lpwstr>
      </vt:variant>
      <vt:variant>
        <vt:lpwstr/>
      </vt:variant>
      <vt:variant>
        <vt:i4>7536645</vt:i4>
      </vt:variant>
      <vt:variant>
        <vt:i4>18</vt:i4>
      </vt:variant>
      <vt:variant>
        <vt:i4>0</vt:i4>
      </vt:variant>
      <vt:variant>
        <vt:i4>5</vt:i4>
      </vt:variant>
      <vt:variant>
        <vt:lpwstr>mailto:Jeffrey.Gee@fcc.gov</vt:lpwstr>
      </vt:variant>
      <vt:variant>
        <vt:lpwstr/>
      </vt:variant>
      <vt:variant>
        <vt:i4>7274519</vt:i4>
      </vt:variant>
      <vt:variant>
        <vt:i4>15</vt:i4>
      </vt:variant>
      <vt:variant>
        <vt:i4>0</vt:i4>
      </vt:variant>
      <vt:variant>
        <vt:i4>5</vt:i4>
      </vt:variant>
      <vt:variant>
        <vt:lpwstr>mailto:Terry.Cavanaugh@fcc.gov</vt:lpwstr>
      </vt:variant>
      <vt:variant>
        <vt:lpwstr/>
      </vt:variant>
      <vt:variant>
        <vt:i4>2752607</vt:i4>
      </vt:variant>
      <vt:variant>
        <vt:i4>12</vt:i4>
      </vt:variant>
      <vt:variant>
        <vt:i4>0</vt:i4>
      </vt:variant>
      <vt:variant>
        <vt:i4>5</vt:i4>
      </vt:variant>
      <vt:variant>
        <vt:lpwstr>mailto:Jennifer.Lewis@fcc.gov</vt:lpwstr>
      </vt:variant>
      <vt:variant>
        <vt:lpwstr/>
      </vt:variant>
      <vt:variant>
        <vt:i4>2031729</vt:i4>
      </vt:variant>
      <vt:variant>
        <vt:i4>9</vt:i4>
      </vt:variant>
      <vt:variant>
        <vt:i4>0</vt:i4>
      </vt:variant>
      <vt:variant>
        <vt:i4>5</vt:i4>
      </vt:variant>
      <vt:variant>
        <vt:lpwstr>mailto:Kenneth.Scheibel@fcc.gov</vt:lpwstr>
      </vt:variant>
      <vt:variant>
        <vt:lpwstr/>
      </vt:variant>
      <vt:variant>
        <vt:i4>7536645</vt:i4>
      </vt:variant>
      <vt:variant>
        <vt:i4>6</vt:i4>
      </vt:variant>
      <vt:variant>
        <vt:i4>0</vt:i4>
      </vt:variant>
      <vt:variant>
        <vt:i4>5</vt:i4>
      </vt:variant>
      <vt:variant>
        <vt:lpwstr>mailto:Jeffrey.Gee@fcc.gov</vt:lpwstr>
      </vt:variant>
      <vt:variant>
        <vt:lpwstr/>
      </vt:variant>
      <vt:variant>
        <vt:i4>7274519</vt:i4>
      </vt:variant>
      <vt:variant>
        <vt:i4>3</vt:i4>
      </vt:variant>
      <vt:variant>
        <vt:i4>0</vt:i4>
      </vt:variant>
      <vt:variant>
        <vt:i4>5</vt:i4>
      </vt:variant>
      <vt:variant>
        <vt:lpwstr>mailto:Terry.Cavanaugh@fcc.gov</vt:lpwstr>
      </vt:variant>
      <vt:variant>
        <vt:lpwstr/>
      </vt: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2013-11-05T16:19:00Z</dcterms:created>
  <dcterms:modified xsi:type="dcterms:W3CDTF">2013-11-05T16:19:00Z</dcterms:modified>
  <cp:category> </cp:category>
  <cp:contentStatus> </cp:contentStatus>
</cp:coreProperties>
</file>