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67" w:rsidRDefault="004D5D67">
      <w:pPr>
        <w:ind w:left="5760" w:firstLine="720"/>
        <w:jc w:val="right"/>
        <w:outlineLvl w:val="0"/>
        <w:rPr>
          <w:b/>
          <w:sz w:val="22"/>
          <w:szCs w:val="22"/>
        </w:rPr>
      </w:pPr>
      <w:bookmarkStart w:id="0" w:name="_GoBack"/>
      <w:bookmarkEnd w:id="0"/>
    </w:p>
    <w:p w:rsidR="00E22B71" w:rsidRDefault="004D5D67">
      <w:pPr>
        <w:ind w:left="5760" w:firstLine="720"/>
        <w:jc w:val="right"/>
        <w:outlineLvl w:val="0"/>
        <w:rPr>
          <w:b/>
          <w:sz w:val="22"/>
          <w:szCs w:val="22"/>
        </w:rPr>
        <w:sectPr w:rsidR="00E22B7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r>
        <w:rPr>
          <w:b/>
          <w:sz w:val="22"/>
          <w:szCs w:val="22"/>
        </w:rPr>
        <w:t xml:space="preserve">  </w:t>
      </w:r>
    </w:p>
    <w:p w:rsidR="004D5D67" w:rsidRDefault="004D5D67">
      <w:pPr>
        <w:ind w:left="5760" w:firstLine="720"/>
        <w:jc w:val="right"/>
        <w:outlineLvl w:val="0"/>
        <w:rPr>
          <w:b/>
          <w:sz w:val="22"/>
          <w:szCs w:val="22"/>
        </w:rPr>
      </w:pPr>
      <w:r>
        <w:rPr>
          <w:b/>
          <w:sz w:val="22"/>
          <w:szCs w:val="22"/>
        </w:rPr>
        <w:lastRenderedPageBreak/>
        <w:t xml:space="preserve">    DA 13-</w:t>
      </w:r>
      <w:r w:rsidR="00E44DC1">
        <w:rPr>
          <w:b/>
          <w:sz w:val="22"/>
          <w:szCs w:val="22"/>
        </w:rPr>
        <w:t>2078</w:t>
      </w:r>
    </w:p>
    <w:p w:rsidR="004D5D67" w:rsidRDefault="004D5D67">
      <w:pPr>
        <w:ind w:left="5760"/>
        <w:jc w:val="right"/>
        <w:outlineLvl w:val="0"/>
        <w:rPr>
          <w:b/>
          <w:sz w:val="22"/>
          <w:szCs w:val="22"/>
        </w:rPr>
      </w:pPr>
      <w:r>
        <w:rPr>
          <w:b/>
          <w:sz w:val="22"/>
          <w:szCs w:val="22"/>
        </w:rPr>
        <w:t xml:space="preserve">Released: </w:t>
      </w:r>
      <w:r w:rsidR="00D21CB0">
        <w:rPr>
          <w:b/>
          <w:sz w:val="22"/>
          <w:szCs w:val="22"/>
        </w:rPr>
        <w:t>November 19</w:t>
      </w:r>
      <w:r>
        <w:rPr>
          <w:b/>
          <w:sz w:val="22"/>
          <w:szCs w:val="22"/>
        </w:rPr>
        <w:t xml:space="preserve">, 2013 </w:t>
      </w:r>
    </w:p>
    <w:p w:rsidR="004D5D67" w:rsidRDefault="004D5D67">
      <w:pPr>
        <w:jc w:val="center"/>
        <w:rPr>
          <w:b/>
          <w:sz w:val="22"/>
          <w:szCs w:val="22"/>
        </w:rPr>
      </w:pPr>
    </w:p>
    <w:p w:rsidR="004D5D67" w:rsidRDefault="004D5D67">
      <w:pPr>
        <w:jc w:val="center"/>
        <w:rPr>
          <w:b/>
          <w:sz w:val="22"/>
          <w:szCs w:val="22"/>
        </w:rPr>
      </w:pPr>
      <w:r>
        <w:rPr>
          <w:b/>
          <w:sz w:val="22"/>
          <w:szCs w:val="22"/>
        </w:rPr>
        <w:t>EX PARTE MEETINGS WITH THE TECHNOLOGY TRANSITIONS POLICY TASK FORCE</w:t>
      </w:r>
    </w:p>
    <w:p w:rsidR="004D5D67" w:rsidRDefault="004D5D67">
      <w:pPr>
        <w:jc w:val="center"/>
        <w:rPr>
          <w:b/>
          <w:sz w:val="22"/>
          <w:szCs w:val="22"/>
        </w:rPr>
      </w:pPr>
    </w:p>
    <w:p w:rsidR="004D5D67" w:rsidRDefault="004D5D67">
      <w:pPr>
        <w:jc w:val="center"/>
        <w:rPr>
          <w:b/>
          <w:sz w:val="22"/>
          <w:szCs w:val="22"/>
        </w:rPr>
      </w:pPr>
      <w:r>
        <w:rPr>
          <w:b/>
          <w:sz w:val="22"/>
          <w:szCs w:val="22"/>
        </w:rPr>
        <w:t>GN Docket No. 13-5</w:t>
      </w:r>
    </w:p>
    <w:p w:rsidR="004D5D67" w:rsidRDefault="004D5D67">
      <w:pPr>
        <w:rPr>
          <w:b/>
          <w:sz w:val="22"/>
          <w:szCs w:val="22"/>
        </w:rPr>
      </w:pPr>
    </w:p>
    <w:p w:rsidR="00D21CB0" w:rsidRDefault="00BE336E" w:rsidP="00D21CB0">
      <w:pPr>
        <w:spacing w:after="240"/>
        <w:ind w:firstLine="720"/>
        <w:rPr>
          <w:sz w:val="22"/>
          <w:szCs w:val="22"/>
          <w:shd w:val="clear" w:color="auto" w:fill="FFFFFF"/>
        </w:rPr>
      </w:pPr>
      <w:r>
        <w:rPr>
          <w:sz w:val="22"/>
          <w:szCs w:val="22"/>
          <w:shd w:val="clear" w:color="auto" w:fill="FFFFFF"/>
        </w:rPr>
        <w:t>As the Technology Transitions Policy Task Force moves</w:t>
      </w:r>
      <w:r w:rsidR="00A6264B">
        <w:rPr>
          <w:sz w:val="22"/>
          <w:szCs w:val="22"/>
          <w:shd w:val="clear" w:color="auto" w:fill="FFFFFF"/>
        </w:rPr>
        <w:t xml:space="preserve"> forward </w:t>
      </w:r>
      <w:r w:rsidR="00293CA4">
        <w:rPr>
          <w:sz w:val="22"/>
          <w:szCs w:val="22"/>
          <w:shd w:val="clear" w:color="auto" w:fill="FFFFFF"/>
        </w:rPr>
        <w:t>in accordance with</w:t>
      </w:r>
      <w:r w:rsidR="00A6264B">
        <w:rPr>
          <w:sz w:val="22"/>
          <w:szCs w:val="22"/>
          <w:shd w:val="clear" w:color="auto" w:fill="FFFFFF"/>
        </w:rPr>
        <w:t xml:space="preserve"> Chairman </w:t>
      </w:r>
      <w:r w:rsidR="005A2E70">
        <w:rPr>
          <w:sz w:val="22"/>
          <w:szCs w:val="22"/>
          <w:shd w:val="clear" w:color="auto" w:fill="FFFFFF"/>
        </w:rPr>
        <w:t xml:space="preserve">Tom </w:t>
      </w:r>
      <w:r w:rsidR="00A6264B">
        <w:rPr>
          <w:sz w:val="22"/>
          <w:szCs w:val="22"/>
          <w:shd w:val="clear" w:color="auto" w:fill="FFFFFF"/>
        </w:rPr>
        <w:t xml:space="preserve">Wheeler’s blog post, </w:t>
      </w:r>
      <w:r w:rsidR="002C6BD8">
        <w:rPr>
          <w:i/>
          <w:sz w:val="22"/>
          <w:szCs w:val="22"/>
          <w:shd w:val="clear" w:color="auto" w:fill="FFFFFF"/>
        </w:rPr>
        <w:t xml:space="preserve">The IP Transition: </w:t>
      </w:r>
      <w:r w:rsidRPr="00BE336E">
        <w:rPr>
          <w:i/>
          <w:sz w:val="22"/>
          <w:szCs w:val="22"/>
          <w:shd w:val="clear" w:color="auto" w:fill="FFFFFF"/>
        </w:rPr>
        <w:t>Starting Now</w:t>
      </w:r>
      <w:r w:rsidR="00C32C36">
        <w:rPr>
          <w:sz w:val="22"/>
          <w:szCs w:val="22"/>
          <w:shd w:val="clear" w:color="auto" w:fill="FFFFFF"/>
        </w:rPr>
        <w:t>,</w:t>
      </w:r>
      <w:r w:rsidR="002C6BD8">
        <w:rPr>
          <w:i/>
          <w:sz w:val="22"/>
          <w:szCs w:val="22"/>
          <w:shd w:val="clear" w:color="auto" w:fill="FFFFFF"/>
        </w:rPr>
        <w:t xml:space="preserve"> </w:t>
      </w:r>
      <w:hyperlink r:id="rId14" w:history="1">
        <w:r w:rsidR="00C32C36" w:rsidRPr="009F4343">
          <w:rPr>
            <w:rStyle w:val="Hyperlink"/>
            <w:sz w:val="22"/>
            <w:szCs w:val="22"/>
            <w:shd w:val="clear" w:color="auto" w:fill="FFFFFF"/>
          </w:rPr>
          <w:t>http://www.fcc.gov/blog/ip-transition-starting-now</w:t>
        </w:r>
      </w:hyperlink>
      <w:r>
        <w:rPr>
          <w:sz w:val="22"/>
          <w:szCs w:val="22"/>
          <w:shd w:val="clear" w:color="auto" w:fill="FFFFFF"/>
        </w:rPr>
        <w:t xml:space="preserve">, </w:t>
      </w:r>
      <w:r w:rsidR="00A6264B">
        <w:rPr>
          <w:sz w:val="22"/>
          <w:szCs w:val="22"/>
          <w:shd w:val="clear" w:color="auto" w:fill="FFFFFF"/>
        </w:rPr>
        <w:t>we wish to reiterate the ways in which interested parties can provide input into the work of the Task Force.</w:t>
      </w:r>
    </w:p>
    <w:p w:rsidR="00BE336E" w:rsidRDefault="00A6264B" w:rsidP="00A6264B">
      <w:pPr>
        <w:spacing w:after="240"/>
        <w:ind w:firstLine="720"/>
        <w:rPr>
          <w:sz w:val="22"/>
          <w:szCs w:val="22"/>
          <w:shd w:val="clear" w:color="auto" w:fill="FFFFFF"/>
        </w:rPr>
      </w:pPr>
      <w:r>
        <w:rPr>
          <w:sz w:val="22"/>
          <w:szCs w:val="22"/>
          <w:shd w:val="clear" w:color="auto" w:fill="FFFFFF"/>
        </w:rPr>
        <w:t xml:space="preserve">Parties requesting meetings with the Task Force should submit requests to </w:t>
      </w:r>
      <w:hyperlink r:id="rId15" w:history="1">
        <w:r>
          <w:rPr>
            <w:rStyle w:val="Hyperlink"/>
            <w:sz w:val="22"/>
            <w:szCs w:val="22"/>
            <w:shd w:val="clear" w:color="auto" w:fill="FFFFFF"/>
          </w:rPr>
          <w:t>TechTaskForce@fcc.gov</w:t>
        </w:r>
      </w:hyperlink>
      <w:r>
        <w:rPr>
          <w:sz w:val="22"/>
          <w:szCs w:val="22"/>
          <w:shd w:val="clear" w:color="auto" w:fill="FFFFFF"/>
        </w:rPr>
        <w:t xml:space="preserve">.  Any such requests </w:t>
      </w:r>
      <w:r w:rsidR="002C6BD8">
        <w:rPr>
          <w:sz w:val="22"/>
          <w:szCs w:val="22"/>
          <w:shd w:val="clear" w:color="auto" w:fill="FFFFFF"/>
        </w:rPr>
        <w:t>should</w:t>
      </w:r>
      <w:r>
        <w:rPr>
          <w:sz w:val="22"/>
          <w:szCs w:val="22"/>
          <w:shd w:val="clear" w:color="auto" w:fill="FFFFFF"/>
        </w:rPr>
        <w:t xml:space="preserve"> specify the purpose of the meeting, the issues that the party intends to discuss (including identifying any pending proceedings that may be discussed), and the meeting attendees.  </w:t>
      </w:r>
    </w:p>
    <w:p w:rsidR="00A6264B" w:rsidRDefault="00BE336E" w:rsidP="00A6264B">
      <w:pPr>
        <w:spacing w:after="240"/>
        <w:ind w:firstLine="720"/>
        <w:rPr>
          <w:sz w:val="22"/>
          <w:szCs w:val="22"/>
        </w:rPr>
      </w:pPr>
      <w:r>
        <w:rPr>
          <w:sz w:val="22"/>
          <w:szCs w:val="22"/>
          <w:shd w:val="clear" w:color="auto" w:fill="FFFFFF"/>
        </w:rPr>
        <w:t xml:space="preserve">We remind parties that </w:t>
      </w:r>
      <w:r>
        <w:rPr>
          <w:sz w:val="22"/>
          <w:szCs w:val="22"/>
        </w:rPr>
        <w:t xml:space="preserve">the Commission treats </w:t>
      </w:r>
      <w:r w:rsidR="0096232E">
        <w:rPr>
          <w:sz w:val="22"/>
          <w:szCs w:val="22"/>
        </w:rPr>
        <w:t>the work of the</w:t>
      </w:r>
      <w:r>
        <w:rPr>
          <w:sz w:val="22"/>
          <w:szCs w:val="22"/>
        </w:rPr>
        <w:t xml:space="preserve"> Technology Transitions Policy Task Force (including both oral me</w:t>
      </w:r>
      <w:r w:rsidR="000321F3">
        <w:rPr>
          <w:sz w:val="22"/>
          <w:szCs w:val="22"/>
        </w:rPr>
        <w:t>etings and written submissions)</w:t>
      </w:r>
      <w:r>
        <w:rPr>
          <w:sz w:val="22"/>
          <w:szCs w:val="22"/>
        </w:rPr>
        <w:t xml:space="preserve"> </w:t>
      </w:r>
      <w:r>
        <w:rPr>
          <w:sz w:val="22"/>
          <w:szCs w:val="22"/>
          <w:shd w:val="clear" w:color="auto" w:fill="FFFFFF"/>
        </w:rPr>
        <w:t xml:space="preserve">as a “permit-but-disclose” proceeding, in which </w:t>
      </w:r>
      <w:r w:rsidRPr="00293601">
        <w:rPr>
          <w:i/>
          <w:sz w:val="22"/>
          <w:szCs w:val="22"/>
          <w:shd w:val="clear" w:color="auto" w:fill="FFFFFF"/>
        </w:rPr>
        <w:t>ex parte</w:t>
      </w:r>
      <w:r>
        <w:rPr>
          <w:sz w:val="22"/>
          <w:szCs w:val="22"/>
          <w:shd w:val="clear" w:color="auto" w:fill="FFFFFF"/>
        </w:rPr>
        <w:t xml:space="preserve"> presentations to Commission decision-making personnel are permissible but subject to certain disclosure requirements in accordance with the Commission’s </w:t>
      </w:r>
      <w:r>
        <w:rPr>
          <w:i/>
          <w:sz w:val="22"/>
          <w:szCs w:val="22"/>
          <w:shd w:val="clear" w:color="auto" w:fill="FFFFFF"/>
        </w:rPr>
        <w:t>ex parte</w:t>
      </w:r>
      <w:r>
        <w:rPr>
          <w:sz w:val="22"/>
          <w:szCs w:val="22"/>
          <w:shd w:val="clear" w:color="auto" w:fill="FFFFFF"/>
        </w:rPr>
        <w:t xml:space="preserve"> rules.</w:t>
      </w:r>
      <w:r>
        <w:rPr>
          <w:rStyle w:val="FootnoteReference"/>
          <w:sz w:val="22"/>
          <w:szCs w:val="22"/>
          <w:shd w:val="clear" w:color="auto" w:fill="FFFFFF"/>
        </w:rPr>
        <w:footnoteReference w:id="1"/>
      </w:r>
    </w:p>
    <w:p w:rsidR="00BE336E" w:rsidRDefault="00BE336E" w:rsidP="00D21CB0">
      <w:pPr>
        <w:spacing w:after="240"/>
        <w:ind w:firstLine="720"/>
        <w:rPr>
          <w:sz w:val="22"/>
          <w:szCs w:val="22"/>
          <w:shd w:val="clear" w:color="auto" w:fill="FFFFFF"/>
        </w:rPr>
      </w:pPr>
      <w:r>
        <w:rPr>
          <w:sz w:val="22"/>
          <w:szCs w:val="22"/>
          <w:shd w:val="clear" w:color="auto" w:fill="FFFFFF"/>
        </w:rPr>
        <w:t xml:space="preserve">Presentations to the </w:t>
      </w:r>
      <w:r>
        <w:rPr>
          <w:sz w:val="22"/>
          <w:szCs w:val="22"/>
        </w:rPr>
        <w:t>Technology Transitions Policy Task Force</w:t>
      </w:r>
      <w:r>
        <w:rPr>
          <w:sz w:val="22"/>
          <w:szCs w:val="22"/>
          <w:shd w:val="clear" w:color="auto" w:fill="FFFFFF"/>
        </w:rPr>
        <w:t xml:space="preserve"> as well as any other written submissions should be filed in GN Docket No. 13-5 as well as any other applicable docket, as appropriate.</w:t>
      </w:r>
      <w:r w:rsidR="00A6264B">
        <w:rPr>
          <w:sz w:val="22"/>
          <w:szCs w:val="22"/>
          <w:shd w:val="clear" w:color="auto" w:fill="FFFFFF"/>
        </w:rPr>
        <w:t xml:space="preserve">  </w:t>
      </w:r>
    </w:p>
    <w:p w:rsidR="004D5D67" w:rsidRDefault="004D5D67" w:rsidP="00327B8F">
      <w:pPr>
        <w:spacing w:after="240"/>
        <w:jc w:val="center"/>
        <w:rPr>
          <w:sz w:val="22"/>
          <w:szCs w:val="22"/>
        </w:rPr>
      </w:pPr>
      <w:r w:rsidRPr="00293601">
        <w:rPr>
          <w:sz w:val="22"/>
          <w:szCs w:val="22"/>
        </w:rPr>
        <w:t>-</w:t>
      </w:r>
      <w:r>
        <w:rPr>
          <w:b/>
          <w:sz w:val="22"/>
          <w:szCs w:val="22"/>
        </w:rPr>
        <w:t xml:space="preserve"> FCC </w:t>
      </w:r>
      <w:r w:rsidRPr="00293601">
        <w:rPr>
          <w:sz w:val="22"/>
          <w:szCs w:val="22"/>
        </w:rPr>
        <w:t>-</w:t>
      </w:r>
    </w:p>
    <w:p w:rsidR="004D5D67" w:rsidRDefault="004D5D67">
      <w:pPr>
        <w:jc w:val="center"/>
        <w:rPr>
          <w:sz w:val="22"/>
          <w:szCs w:val="22"/>
        </w:rPr>
      </w:pPr>
    </w:p>
    <w:sectPr w:rsidR="004D5D67" w:rsidSect="00293601">
      <w:type w:val="continuous"/>
      <w:pgSz w:w="12240" w:h="15840" w:code="1"/>
      <w:pgMar w:top="1440" w:right="1440" w:bottom="1440" w:left="1440" w:header="72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60" w:rsidRDefault="00912F60">
      <w:r>
        <w:separator/>
      </w:r>
    </w:p>
  </w:endnote>
  <w:endnote w:type="continuationSeparator" w:id="0">
    <w:p w:rsidR="00912F60" w:rsidRDefault="0091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D3" w:rsidRDefault="00620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D3" w:rsidRDefault="006203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D3" w:rsidRDefault="00620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60" w:rsidRDefault="00912F60">
      <w:r>
        <w:separator/>
      </w:r>
    </w:p>
  </w:footnote>
  <w:footnote w:type="continuationSeparator" w:id="0">
    <w:p w:rsidR="00912F60" w:rsidRDefault="00912F60">
      <w:r>
        <w:continuationSeparator/>
      </w:r>
    </w:p>
  </w:footnote>
  <w:footnote w:id="1">
    <w:p w:rsidR="00BE336E" w:rsidRPr="00D05394" w:rsidRDefault="00BE336E" w:rsidP="00BE336E">
      <w:pPr>
        <w:pStyle w:val="FootnoteText"/>
      </w:pPr>
      <w:r>
        <w:rPr>
          <w:rStyle w:val="FootnoteReference"/>
        </w:rPr>
        <w:footnoteRef/>
      </w:r>
      <w:r>
        <w:t xml:space="preserve"> </w:t>
      </w:r>
      <w:r w:rsidRPr="00D05394">
        <w:rPr>
          <w:i/>
        </w:rPr>
        <w:t>See Ex Parte Meetings with the Technology Transitions Policy Task Force</w:t>
      </w:r>
      <w:r>
        <w:t xml:space="preserve">, Public Notice, GN Docket No. 13-5, Public Notice, DA 13-20 (TTPTF, Jan. 10, 2013) (describing the </w:t>
      </w:r>
      <w:r w:rsidRPr="00D05394">
        <w:t>Technology Transitions Policy Task Force</w:t>
      </w:r>
      <w:r>
        <w:t xml:space="preserve"> and providing </w:t>
      </w:r>
      <w:r w:rsidRPr="00D05394">
        <w:rPr>
          <w:i/>
        </w:rPr>
        <w:t>ex parte</w:t>
      </w:r>
      <w:r>
        <w:t xml:space="preserve"> filing instructions), </w:t>
      </w:r>
      <w:r w:rsidRPr="00293601">
        <w:rPr>
          <w:i/>
        </w:rPr>
        <w:t>available at</w:t>
      </w:r>
      <w:r>
        <w:t xml:space="preserve"> </w:t>
      </w:r>
      <w:hyperlink r:id="rId1" w:history="1">
        <w:r>
          <w:rPr>
            <w:rStyle w:val="Hyperlink"/>
          </w:rPr>
          <w:t>http://hraunfoss.fcc.gov/edocs_public/attachmatch/DA-13-20A1.pdf</w:t>
        </w:r>
      </w:hyperlink>
      <w:r>
        <w:t>.  This Public Notice does not otherwise alter exemptions to the permit but disclose requirements, including communications with other government agencies, as provided in 47 C.F.R. § 1.1204.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D3" w:rsidRDefault="00620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D3" w:rsidRDefault="00620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67" w:rsidRDefault="00471DDB">
    <w:pPr>
      <w:pStyle w:val="Header"/>
      <w:tabs>
        <w:tab w:val="clear" w:pos="4320"/>
        <w:tab w:val="clear" w:pos="8640"/>
        <w:tab w:val="left" w:pos="1080"/>
      </w:tabs>
      <w:spacing w:line="1120" w:lineRule="exact"/>
      <w:rPr>
        <w:rFonts w:ascii="Arial" w:hAnsi="Arial"/>
        <w:b/>
        <w:sz w:val="92"/>
        <w:szCs w:val="92"/>
      </w:rPr>
    </w:pPr>
    <w:r>
      <w:rPr>
        <w:rFonts w:ascii="Arial" w:hAnsi="Arial"/>
        <w:b/>
        <w:noProof/>
        <w:sz w:val="24"/>
      </w:rPr>
      <mc:AlternateContent>
        <mc:Choice Requires="wps">
          <w:drawing>
            <wp:anchor distT="0" distB="0" distL="114300" distR="114300" simplePos="0" relativeHeight="251658240" behindDoc="0" locked="0" layoutInCell="1" allowOverlap="1">
              <wp:simplePos x="0" y="0"/>
              <wp:positionH relativeFrom="column">
                <wp:posOffset>3632835</wp:posOffset>
              </wp:positionH>
              <wp:positionV relativeFrom="paragraph">
                <wp:posOffset>574040</wp:posOffset>
              </wp:positionV>
              <wp:extent cx="228600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D67" w:rsidRDefault="004D5D67">
                          <w:pPr>
                            <w:spacing w:before="40"/>
                            <w:jc w:val="right"/>
                            <w:rPr>
                              <w:rFonts w:ascii="Arial" w:hAnsi="Arial"/>
                              <w:sz w:val="16"/>
                            </w:rPr>
                          </w:pPr>
                          <w:r>
                            <w:rPr>
                              <w:rFonts w:ascii="Arial" w:hAnsi="Arial"/>
                              <w:sz w:val="16"/>
                            </w:rPr>
                            <w:tab/>
                          </w:r>
                        </w:p>
                        <w:p w:rsidR="004D5D67" w:rsidRDefault="004D5D67">
                          <w:pPr>
                            <w:spacing w:before="40"/>
                            <w:jc w:val="right"/>
                            <w:rPr>
                              <w:rFonts w:ascii="Arial" w:hAnsi="Arial"/>
                              <w:b/>
                              <w:sz w:val="16"/>
                            </w:rPr>
                          </w:pPr>
                          <w:r>
                            <w:rPr>
                              <w:rFonts w:ascii="Arial" w:hAnsi="Arial"/>
                              <w:b/>
                              <w:sz w:val="16"/>
                            </w:rPr>
                            <w:t>News Media Information 202 / 418-0500</w:t>
                          </w:r>
                        </w:p>
                        <w:p w:rsidR="004D5D67" w:rsidRDefault="004D5D6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D5D67" w:rsidRDefault="004D5D67">
                          <w:pPr>
                            <w:jc w:val="right"/>
                            <w:rPr>
                              <w:rFonts w:ascii="Arial" w:hAnsi="Arial"/>
                              <w:b/>
                              <w:sz w:val="16"/>
                            </w:rPr>
                          </w:pPr>
                          <w:r>
                            <w:rPr>
                              <w:rFonts w:ascii="Arial" w:hAnsi="Arial"/>
                              <w:b/>
                              <w:sz w:val="16"/>
                            </w:rPr>
                            <w:t>TTY: 1-888-835-5322</w:t>
                          </w:r>
                        </w:p>
                        <w:p w:rsidR="004D5D67" w:rsidRDefault="004D5D67">
                          <w:pPr>
                            <w:jc w:val="right"/>
                          </w:pPr>
                        </w:p>
                        <w:p w:rsidR="004D5D67" w:rsidRDefault="004D5D67">
                          <w:pPr>
                            <w:jc w:val="right"/>
                            <w:rPr>
                              <w:rFonts w:ascii="Arial" w:hAnsi="Arial"/>
                              <w:sz w:val="16"/>
                            </w:rPr>
                          </w:pPr>
                        </w:p>
                        <w:p w:rsidR="004D5D67" w:rsidRDefault="004D5D67">
                          <w:pPr>
                            <w:jc w:val="right"/>
                            <w:rPr>
                              <w:rFonts w:ascii="Arial" w:hAnsi="Arial"/>
                              <w:sz w:val="16"/>
                            </w:rPr>
                          </w:pPr>
                          <w:r>
                            <w:rPr>
                              <w:rFonts w:ascii="Arial" w:hAnsi="Arial"/>
                              <w:sz w:val="16"/>
                            </w:rPr>
                            <w:tab/>
                          </w:r>
                        </w:p>
                        <w:p w:rsidR="004D5D67" w:rsidRDefault="004D5D67">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6.05pt;margin-top:45.2pt;width:18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" stroked="f">
              <v:textbox>
                <w:txbxContent>
                  <w:p w:rsidR="004D5D67" w:rsidRDefault="004D5D67">
                    <w:pPr>
                      <w:spacing w:before="40"/>
                      <w:jc w:val="right"/>
                      <w:rPr>
                        <w:rFonts w:ascii="Arial" w:hAnsi="Arial"/>
                        <w:sz w:val="16"/>
                      </w:rPr>
                    </w:pPr>
                    <w:r>
                      <w:rPr>
                        <w:rFonts w:ascii="Arial" w:hAnsi="Arial"/>
                        <w:sz w:val="16"/>
                      </w:rPr>
                      <w:tab/>
                    </w:r>
                  </w:p>
                  <w:p w:rsidR="004D5D67" w:rsidRDefault="004D5D67">
                    <w:pPr>
                      <w:spacing w:before="40"/>
                      <w:jc w:val="right"/>
                      <w:rPr>
                        <w:rFonts w:ascii="Arial" w:hAnsi="Arial"/>
                        <w:b/>
                        <w:sz w:val="16"/>
                      </w:rPr>
                    </w:pPr>
                    <w:r>
                      <w:rPr>
                        <w:rFonts w:ascii="Arial" w:hAnsi="Arial"/>
                        <w:b/>
                        <w:sz w:val="16"/>
                      </w:rPr>
                      <w:t>News Media Information 202 / 418-0500</w:t>
                    </w:r>
                  </w:p>
                  <w:p w:rsidR="004D5D67" w:rsidRDefault="004D5D6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4D5D67" w:rsidRDefault="004D5D67">
                    <w:pPr>
                      <w:jc w:val="right"/>
                      <w:rPr>
                        <w:rFonts w:ascii="Arial" w:hAnsi="Arial"/>
                        <w:b/>
                        <w:sz w:val="16"/>
                      </w:rPr>
                    </w:pPr>
                    <w:r>
                      <w:rPr>
                        <w:rFonts w:ascii="Arial" w:hAnsi="Arial"/>
                        <w:b/>
                        <w:sz w:val="16"/>
                      </w:rPr>
                      <w:t>TTY: 1-888-835-5322</w:t>
                    </w:r>
                  </w:p>
                  <w:p w:rsidR="004D5D67" w:rsidRDefault="004D5D67">
                    <w:pPr>
                      <w:jc w:val="right"/>
                    </w:pPr>
                  </w:p>
                  <w:p w:rsidR="004D5D67" w:rsidRDefault="004D5D67">
                    <w:pPr>
                      <w:jc w:val="right"/>
                      <w:rPr>
                        <w:rFonts w:ascii="Arial" w:hAnsi="Arial"/>
                        <w:sz w:val="16"/>
                      </w:rPr>
                    </w:pPr>
                  </w:p>
                  <w:p w:rsidR="004D5D67" w:rsidRDefault="004D5D67">
                    <w:pPr>
                      <w:jc w:val="right"/>
                      <w:rPr>
                        <w:rFonts w:ascii="Arial" w:hAnsi="Arial"/>
                        <w:sz w:val="16"/>
                      </w:rPr>
                    </w:pPr>
                    <w:r>
                      <w:rPr>
                        <w:rFonts w:ascii="Arial" w:hAnsi="Arial"/>
                        <w:sz w:val="16"/>
                      </w:rPr>
                      <w:tab/>
                    </w:r>
                  </w:p>
                  <w:p w:rsidR="004D5D67" w:rsidRDefault="004D5D67">
                    <w:pPr>
                      <w:jc w:val="right"/>
                      <w:rPr>
                        <w:rFonts w:ascii="Arial" w:hAnsi="Arial"/>
                        <w:sz w:val="16"/>
                      </w:rPr>
                    </w:pPr>
                    <w:r>
                      <w:rPr>
                        <w:rFonts w:ascii="Arial" w:hAnsi="Arial"/>
                        <w:sz w:val="16"/>
                      </w:rPr>
                      <w:tab/>
                    </w:r>
                  </w:p>
                </w:txbxContent>
              </v:textbox>
            </v:shape>
          </w:pict>
        </mc:Fallback>
      </mc:AlternateContent>
    </w:r>
    <w:r>
      <w:rPr>
        <w:rFonts w:ascii="Arial" w:hAnsi="Arial"/>
        <w:b/>
        <w:noProof/>
        <w:sz w:val="24"/>
      </w:rPr>
      <mc:AlternateContent>
        <mc:Choice Requires="wps">
          <w:drawing>
            <wp:anchor distT="0" distB="0" distL="114300" distR="114300" simplePos="0" relativeHeight="251656192" behindDoc="0" locked="0" layoutInCell="1" allowOverlap="1">
              <wp:simplePos x="0" y="0"/>
              <wp:positionH relativeFrom="column">
                <wp:posOffset>280035</wp:posOffset>
              </wp:positionH>
              <wp:positionV relativeFrom="paragraph">
                <wp:posOffset>574040</wp:posOffset>
              </wp:positionV>
              <wp:extent cx="2990215"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D67" w:rsidRDefault="004D5D67">
                          <w:pPr>
                            <w:rPr>
                              <w:rFonts w:ascii="Arial" w:hAnsi="Arial"/>
                              <w:b/>
                              <w:sz w:val="24"/>
                            </w:rPr>
                          </w:pPr>
                          <w:r>
                            <w:rPr>
                              <w:rFonts w:ascii="Arial" w:hAnsi="Arial"/>
                              <w:b/>
                              <w:sz w:val="24"/>
                            </w:rPr>
                            <w:t>Federal Communications Commission</w:t>
                          </w:r>
                        </w:p>
                        <w:p w:rsidR="004D5D67" w:rsidRDefault="004D5D67">
                          <w:pPr>
                            <w:rPr>
                              <w:rFonts w:ascii="Arial" w:hAnsi="Arial"/>
                              <w:b/>
                              <w:sz w:val="24"/>
                            </w:rPr>
                          </w:pPr>
                          <w:smartTag w:uri="urn:schemas-microsoft-com:office:smarttags" w:element="Street">
                            <w:smartTag w:uri="urn:schemas-microsoft-com:office:smarttags" w:element="address">
                              <w:r>
                                <w:rPr>
                                  <w:rFonts w:ascii="Arial" w:hAnsi="Arial"/>
                                  <w:b/>
                                  <w:sz w:val="24"/>
                                </w:rPr>
                                <w:t>445 12th St., S.W.</w:t>
                              </w:r>
                            </w:smartTag>
                          </w:smartTag>
                        </w:p>
                        <w:p w:rsidR="004D5D67" w:rsidRDefault="004D5D67">
                          <w:pPr>
                            <w:rPr>
                              <w:rFonts w:ascii="Arial" w:hAnsi="Arial"/>
                              <w:sz w:val="24"/>
                            </w:rPr>
                          </w:pPr>
                          <w:smartTag w:uri="urn:schemas-microsoft-com:office:smarttags" w:element="place">
                            <w:smartTag w:uri="urn:schemas-microsoft-com:office:smarttags" w:element="City">
                              <w:r>
                                <w:rPr>
                                  <w:rFonts w:ascii="Arial" w:hAnsi="Arial"/>
                                  <w:b/>
                                  <w:sz w:val="24"/>
                                </w:rPr>
                                <w:t>Washington</w:t>
                              </w:r>
                            </w:smartTag>
                            <w:r>
                              <w:rPr>
                                <w:rFonts w:ascii="Arial" w:hAnsi="Arial"/>
                                <w:b/>
                                <w:sz w:val="24"/>
                              </w:rPr>
                              <w:t xml:space="preserve">, </w:t>
                            </w:r>
                            <w:smartTag w:uri="urn:schemas-microsoft-com:office:smarttags" w:element="State">
                              <w:r>
                                <w:rPr>
                                  <w:rFonts w:ascii="Arial" w:hAnsi="Arial"/>
                                  <w:b/>
                                  <w:sz w:val="24"/>
                                </w:rPr>
                                <w:t>D.C.</w:t>
                              </w:r>
                            </w:smartTag>
                            <w:r>
                              <w:rPr>
                                <w:rFonts w:ascii="Arial" w:hAnsi="Arial"/>
                                <w:b/>
                                <w:sz w:val="24"/>
                              </w:rPr>
                              <w:t xml:space="preserve"> </w:t>
                            </w:r>
                            <w:smartTag w:uri="urn:schemas-microsoft-com:office:smarttags" w:element="PostalCode">
                              <w:r>
                                <w:rPr>
                                  <w:rFonts w:ascii="Arial" w:hAnsi="Arial"/>
                                  <w:b/>
                                  <w:sz w:val="24"/>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2.05pt;margin-top:45.2pt;width:235.4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" stroked="f">
              <v:textbox>
                <w:txbxContent>
                  <w:p w:rsidR="004D5D67" w:rsidRDefault="004D5D67">
                    <w:pPr>
                      <w:rPr>
                        <w:rFonts w:ascii="Arial" w:hAnsi="Arial"/>
                        <w:b/>
                        <w:sz w:val="24"/>
                      </w:rPr>
                    </w:pPr>
                    <w:r>
                      <w:rPr>
                        <w:rFonts w:ascii="Arial" w:hAnsi="Arial"/>
                        <w:b/>
                        <w:sz w:val="24"/>
                      </w:rPr>
                      <w:t>Federal Communications Commission</w:t>
                    </w:r>
                  </w:p>
                  <w:p w:rsidR="004D5D67" w:rsidRDefault="004D5D67">
                    <w:pPr>
                      <w:rPr>
                        <w:rFonts w:ascii="Arial" w:hAnsi="Arial"/>
                        <w:b/>
                        <w:sz w:val="24"/>
                      </w:rPr>
                    </w:pPr>
                    <w:smartTag w:uri="urn:schemas-microsoft-com:office:smarttags" w:element="Street">
                      <w:smartTag w:uri="urn:schemas-microsoft-com:office:smarttags" w:element="address">
                        <w:r>
                          <w:rPr>
                            <w:rFonts w:ascii="Arial" w:hAnsi="Arial"/>
                            <w:b/>
                            <w:sz w:val="24"/>
                          </w:rPr>
                          <w:t>445 12th St., S.W.</w:t>
                        </w:r>
                      </w:smartTag>
                    </w:smartTag>
                  </w:p>
                  <w:p w:rsidR="004D5D67" w:rsidRDefault="004D5D67">
                    <w:pPr>
                      <w:rPr>
                        <w:rFonts w:ascii="Arial" w:hAnsi="Arial"/>
                        <w:sz w:val="24"/>
                      </w:rPr>
                    </w:pPr>
                    <w:smartTag w:uri="urn:schemas-microsoft-com:office:smarttags" w:element="place">
                      <w:smartTag w:uri="urn:schemas-microsoft-com:office:smarttags" w:element="City">
                        <w:r>
                          <w:rPr>
                            <w:rFonts w:ascii="Arial" w:hAnsi="Arial"/>
                            <w:b/>
                            <w:sz w:val="24"/>
                          </w:rPr>
                          <w:t>Washington</w:t>
                        </w:r>
                      </w:smartTag>
                      <w:r>
                        <w:rPr>
                          <w:rFonts w:ascii="Arial" w:hAnsi="Arial"/>
                          <w:b/>
                          <w:sz w:val="24"/>
                        </w:rPr>
                        <w:t xml:space="preserve">, </w:t>
                      </w:r>
                      <w:smartTag w:uri="urn:schemas-microsoft-com:office:smarttags" w:element="State">
                        <w:r>
                          <w:rPr>
                            <w:rFonts w:ascii="Arial" w:hAnsi="Arial"/>
                            <w:b/>
                            <w:sz w:val="24"/>
                          </w:rPr>
                          <w:t>D.C.</w:t>
                        </w:r>
                      </w:smartTag>
                      <w:r>
                        <w:rPr>
                          <w:rFonts w:ascii="Arial" w:hAnsi="Arial"/>
                          <w:b/>
                          <w:sz w:val="24"/>
                        </w:rPr>
                        <w:t xml:space="preserve"> </w:t>
                      </w:r>
                      <w:smartTag w:uri="urn:schemas-microsoft-com:office:smarttags" w:element="PostalCode">
                        <w:r>
                          <w:rPr>
                            <w:rFonts w:ascii="Arial" w:hAnsi="Arial"/>
                            <w:b/>
                            <w:sz w:val="24"/>
                          </w:rPr>
                          <w:t>20554</w:t>
                        </w:r>
                      </w:smartTag>
                    </w:smartTag>
                  </w:p>
                </w:txbxContent>
              </v:textbox>
            </v:shape>
          </w:pict>
        </mc:Fallback>
      </mc:AlternateContent>
    </w:r>
    <w:r>
      <w:rPr>
        <w:rFonts w:ascii="Arial" w:hAnsi="Arial"/>
        <w:b/>
        <w:noProof/>
        <w:sz w:val="24"/>
      </w:rPr>
      <w:drawing>
        <wp:anchor distT="0" distB="0" distL="114300" distR="114300" simplePos="0" relativeHeight="251659264" behindDoc="0" locked="0" layoutInCell="1" allowOverlap="1">
          <wp:simplePos x="0" y="0"/>
          <wp:positionH relativeFrom="column">
            <wp:posOffset>-291465</wp:posOffset>
          </wp:positionH>
          <wp:positionV relativeFrom="paragraph">
            <wp:posOffset>2540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4D5D67">
      <w:rPr>
        <w:rFonts w:ascii="Arial" w:hAnsi="Arial"/>
        <w:b/>
        <w:sz w:val="96"/>
      </w:rPr>
      <w:t xml:space="preserve">  </w:t>
    </w:r>
    <w:r w:rsidR="004D5D67">
      <w:rPr>
        <w:rFonts w:ascii="Arial" w:hAnsi="Arial"/>
        <w:b/>
        <w:sz w:val="92"/>
        <w:szCs w:val="92"/>
      </w:rPr>
      <w:t>PUBLIC NOTICE</w:t>
    </w:r>
  </w:p>
  <w:p w:rsidR="004D5D67" w:rsidRDefault="00471DDB">
    <w:pPr>
      <w:pStyle w:val="Header"/>
      <w:tabs>
        <w:tab w:val="clear" w:pos="4320"/>
        <w:tab w:val="clear" w:pos="8640"/>
        <w:tab w:val="left" w:pos="1080"/>
      </w:tabs>
      <w:spacing w:line="1120" w:lineRule="exact"/>
      <w:ind w:left="720"/>
      <w:rPr>
        <w:rFonts w:ascii="Arial" w:hAnsi="Arial"/>
        <w:b/>
        <w:sz w:val="28"/>
      </w:rPr>
    </w:pPr>
    <w:r>
      <w:rPr>
        <w:rFonts w:ascii="Arial" w:hAnsi="Arial"/>
        <w:b/>
        <w:noProof/>
        <w:sz w:val="22"/>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662940</wp:posOffset>
              </wp:positionV>
              <wp:extent cx="606361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2.2pt" to="47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C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C8A9E82"/>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5E98816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5357658"/>
    <w:multiLevelType w:val="hybridMultilevel"/>
    <w:tmpl w:val="A59E262C"/>
    <w:lvl w:ilvl="0" w:tplc="8F2CEF9C">
      <w:start w:val="1"/>
      <w:numFmt w:val="bullet"/>
      <w:lvlText w:val=""/>
      <w:lvlJc w:val="left"/>
      <w:pPr>
        <w:tabs>
          <w:tab w:val="num" w:pos="720"/>
        </w:tabs>
        <w:ind w:left="720" w:hanging="360"/>
      </w:pPr>
      <w:rPr>
        <w:rFonts w:ascii="Wingdings" w:hAnsi="Wingdings" w:hint="default"/>
      </w:rPr>
    </w:lvl>
    <w:lvl w:ilvl="1" w:tplc="F078F3E2">
      <w:start w:val="1"/>
      <w:numFmt w:val="decimal"/>
      <w:lvlText w:val="(%2)"/>
      <w:lvlJc w:val="left"/>
      <w:pPr>
        <w:tabs>
          <w:tab w:val="num" w:pos="1440"/>
        </w:tabs>
        <w:ind w:left="1440" w:hanging="360"/>
      </w:pPr>
    </w:lvl>
    <w:lvl w:ilvl="2" w:tplc="B6706876">
      <w:start w:val="1"/>
      <w:numFmt w:val="lowerRoman"/>
      <w:lvlText w:val="%3."/>
      <w:lvlJc w:val="right"/>
      <w:pPr>
        <w:tabs>
          <w:tab w:val="num" w:pos="2160"/>
        </w:tabs>
        <w:ind w:left="2160" w:hanging="180"/>
      </w:pPr>
    </w:lvl>
    <w:lvl w:ilvl="3" w:tplc="D25EE554">
      <w:start w:val="1"/>
      <w:numFmt w:val="decimal"/>
      <w:lvlText w:val="%4."/>
      <w:lvlJc w:val="left"/>
      <w:pPr>
        <w:tabs>
          <w:tab w:val="num" w:pos="2880"/>
        </w:tabs>
        <w:ind w:left="2880" w:hanging="360"/>
      </w:pPr>
    </w:lvl>
    <w:lvl w:ilvl="4" w:tplc="66AAF57C">
      <w:start w:val="1"/>
      <w:numFmt w:val="decimal"/>
      <w:lvlText w:val="%5."/>
      <w:lvlJc w:val="left"/>
      <w:pPr>
        <w:tabs>
          <w:tab w:val="num" w:pos="3600"/>
        </w:tabs>
        <w:ind w:left="3600" w:hanging="360"/>
      </w:pPr>
    </w:lvl>
    <w:lvl w:ilvl="5" w:tplc="2C5AF0EC">
      <w:start w:val="1"/>
      <w:numFmt w:val="decimal"/>
      <w:lvlText w:val="%6."/>
      <w:lvlJc w:val="left"/>
      <w:pPr>
        <w:tabs>
          <w:tab w:val="num" w:pos="4320"/>
        </w:tabs>
        <w:ind w:left="4320" w:hanging="360"/>
      </w:pPr>
    </w:lvl>
    <w:lvl w:ilvl="6" w:tplc="2AFC5F8E">
      <w:start w:val="1"/>
      <w:numFmt w:val="decimal"/>
      <w:lvlText w:val="%7."/>
      <w:lvlJc w:val="left"/>
      <w:pPr>
        <w:tabs>
          <w:tab w:val="num" w:pos="5040"/>
        </w:tabs>
        <w:ind w:left="5040" w:hanging="360"/>
      </w:pPr>
    </w:lvl>
    <w:lvl w:ilvl="7" w:tplc="5630CD0A">
      <w:start w:val="1"/>
      <w:numFmt w:val="decimal"/>
      <w:lvlText w:val="%8."/>
      <w:lvlJc w:val="left"/>
      <w:pPr>
        <w:tabs>
          <w:tab w:val="num" w:pos="5760"/>
        </w:tabs>
        <w:ind w:left="5760" w:hanging="360"/>
      </w:pPr>
    </w:lvl>
    <w:lvl w:ilvl="8" w:tplc="A62212F2">
      <w:start w:val="1"/>
      <w:numFmt w:val="decimal"/>
      <w:lvlText w:val="%9."/>
      <w:lvlJc w:val="left"/>
      <w:pPr>
        <w:tabs>
          <w:tab w:val="num" w:pos="6480"/>
        </w:tabs>
        <w:ind w:left="6480" w:hanging="360"/>
      </w:pPr>
    </w:lvl>
  </w:abstractNum>
  <w:abstractNum w:abstractNumId="3">
    <w:nsid w:val="08E56A32"/>
    <w:multiLevelType w:val="hybridMultilevel"/>
    <w:tmpl w:val="C1046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AC09F4"/>
    <w:multiLevelType w:val="multilevel"/>
    <w:tmpl w:val="6916FE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C979EF"/>
    <w:multiLevelType w:val="multilevel"/>
    <w:tmpl w:val="1FCC17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E225D9"/>
    <w:multiLevelType w:val="hybridMultilevel"/>
    <w:tmpl w:val="6F56B5B2"/>
    <w:lvl w:ilvl="0" w:tplc="978ECCCA">
      <w:start w:val="1"/>
      <w:numFmt w:val="bullet"/>
      <w:lvlText w:val=""/>
      <w:lvlJc w:val="left"/>
      <w:pPr>
        <w:tabs>
          <w:tab w:val="num" w:pos="720"/>
        </w:tabs>
        <w:ind w:left="720" w:hanging="360"/>
      </w:pPr>
      <w:rPr>
        <w:rFonts w:ascii="Wingdings" w:hAnsi="Wingdings" w:hint="default"/>
      </w:rPr>
    </w:lvl>
    <w:lvl w:ilvl="1" w:tplc="100CFAB8">
      <w:start w:val="1"/>
      <w:numFmt w:val="bullet"/>
      <w:lvlText w:val="o"/>
      <w:lvlJc w:val="left"/>
      <w:pPr>
        <w:tabs>
          <w:tab w:val="num" w:pos="720"/>
        </w:tabs>
        <w:ind w:left="720" w:hanging="360"/>
      </w:pPr>
      <w:rPr>
        <w:rFonts w:ascii="Courier New" w:hAnsi="Courier New" w:cs="Symbol" w:hint="default"/>
      </w:rPr>
    </w:lvl>
    <w:lvl w:ilvl="2" w:tplc="FC8E8570">
      <w:start w:val="1"/>
      <w:numFmt w:val="bullet"/>
      <w:lvlText w:val=""/>
      <w:lvlJc w:val="left"/>
      <w:pPr>
        <w:tabs>
          <w:tab w:val="num" w:pos="360"/>
        </w:tabs>
        <w:ind w:left="360" w:hanging="360"/>
      </w:pPr>
      <w:rPr>
        <w:rFonts w:ascii="Wingdings" w:hAnsi="Wingdings" w:hint="default"/>
      </w:rPr>
    </w:lvl>
    <w:lvl w:ilvl="3" w:tplc="A59834AC">
      <w:start w:val="1"/>
      <w:numFmt w:val="decimal"/>
      <w:lvlText w:val="%4."/>
      <w:lvlJc w:val="left"/>
      <w:pPr>
        <w:tabs>
          <w:tab w:val="num" w:pos="2880"/>
        </w:tabs>
        <w:ind w:left="2880" w:hanging="360"/>
      </w:pPr>
    </w:lvl>
    <w:lvl w:ilvl="4" w:tplc="2772A12A">
      <w:start w:val="1"/>
      <w:numFmt w:val="decimal"/>
      <w:lvlText w:val="%5."/>
      <w:lvlJc w:val="left"/>
      <w:pPr>
        <w:tabs>
          <w:tab w:val="num" w:pos="3600"/>
        </w:tabs>
        <w:ind w:left="3600" w:hanging="360"/>
      </w:pPr>
    </w:lvl>
    <w:lvl w:ilvl="5" w:tplc="54BC0034">
      <w:start w:val="1"/>
      <w:numFmt w:val="decimal"/>
      <w:lvlText w:val="%6."/>
      <w:lvlJc w:val="left"/>
      <w:pPr>
        <w:tabs>
          <w:tab w:val="num" w:pos="4320"/>
        </w:tabs>
        <w:ind w:left="4320" w:hanging="360"/>
      </w:pPr>
    </w:lvl>
    <w:lvl w:ilvl="6" w:tplc="21D66DFE">
      <w:start w:val="1"/>
      <w:numFmt w:val="decimal"/>
      <w:lvlText w:val="%7."/>
      <w:lvlJc w:val="left"/>
      <w:pPr>
        <w:tabs>
          <w:tab w:val="num" w:pos="5040"/>
        </w:tabs>
        <w:ind w:left="5040" w:hanging="360"/>
      </w:pPr>
    </w:lvl>
    <w:lvl w:ilvl="7" w:tplc="47284410">
      <w:start w:val="1"/>
      <w:numFmt w:val="decimal"/>
      <w:lvlText w:val="%8."/>
      <w:lvlJc w:val="left"/>
      <w:pPr>
        <w:tabs>
          <w:tab w:val="num" w:pos="5760"/>
        </w:tabs>
        <w:ind w:left="5760" w:hanging="360"/>
      </w:pPr>
    </w:lvl>
    <w:lvl w:ilvl="8" w:tplc="88246B20">
      <w:start w:val="1"/>
      <w:numFmt w:val="decimal"/>
      <w:lvlText w:val="%9."/>
      <w:lvlJc w:val="left"/>
      <w:pPr>
        <w:tabs>
          <w:tab w:val="num" w:pos="6480"/>
        </w:tabs>
        <w:ind w:left="6480" w:hanging="360"/>
      </w:pPr>
    </w:lvl>
  </w:abstractNum>
  <w:abstractNum w:abstractNumId="9">
    <w:nsid w:val="52C21CE8"/>
    <w:multiLevelType w:val="hybridMultilevel"/>
    <w:tmpl w:val="3EF2327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984B52"/>
    <w:multiLevelType w:val="hybridMultilevel"/>
    <w:tmpl w:val="89B8CB54"/>
    <w:lvl w:ilvl="0" w:tplc="04090005">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Verdan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Verdan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Verdan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1925137"/>
    <w:multiLevelType w:val="hybridMultilevel"/>
    <w:tmpl w:val="1298B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F0406EE"/>
    <w:multiLevelType w:val="hybridMultilevel"/>
    <w:tmpl w:val="749E4CE6"/>
    <w:lvl w:ilvl="0" w:tplc="04090001">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numFmt w:val="bullet"/>
      <w:lvlText w:val="-"/>
      <w:lvlJc w:val="left"/>
      <w:pPr>
        <w:tabs>
          <w:tab w:val="num" w:pos="1440"/>
        </w:tabs>
        <w:ind w:left="1440" w:hanging="360"/>
      </w:pPr>
      <w:rPr>
        <w:rFonts w:ascii="Times New Roman" w:eastAsia="Times New Roman" w:hAnsi="Times New Roman" w:cs="Times New Roman" w:hint="default"/>
      </w:rPr>
    </w:lvl>
    <w:lvl w:ilvl="4" w:tplc="04090003">
      <w:start w:val="1"/>
      <w:numFmt w:val="lowerLetter"/>
      <w:lvlText w:val="%5."/>
      <w:lvlJc w:val="left"/>
      <w:pPr>
        <w:tabs>
          <w:tab w:val="num" w:pos="4320"/>
        </w:tabs>
        <w:ind w:left="432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8"/>
  </w:num>
  <w:num w:numId="7">
    <w:abstractNumId w:val="2"/>
  </w:num>
  <w:num w:numId="8">
    <w:abstractNumId w:val="5"/>
  </w:num>
  <w:num w:numId="9">
    <w:abstractNumId w:val="10"/>
  </w:num>
  <w:num w:numId="10">
    <w:abstractNumId w:val="4"/>
  </w:num>
  <w:num w:numId="11">
    <w:abstractNumId w:val="6"/>
  </w:num>
  <w:num w:numId="12">
    <w:abstractNumId w:val="4"/>
  </w:num>
  <w:num w:numId="13">
    <w:abstractNumId w:val="9"/>
  </w:num>
  <w:num w:numId="14">
    <w:abstractNumId w:val="3"/>
  </w:num>
  <w:num w:numId="15">
    <w:abstractNumId w:val="12"/>
  </w:num>
  <w:num w:numId="16">
    <w:abstractNumId w:val="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E7"/>
    <w:rsid w:val="000321F3"/>
    <w:rsid w:val="000F6143"/>
    <w:rsid w:val="001F1A2C"/>
    <w:rsid w:val="00284A3D"/>
    <w:rsid w:val="00293601"/>
    <w:rsid w:val="00293CA4"/>
    <w:rsid w:val="002C6BD8"/>
    <w:rsid w:val="00327B8F"/>
    <w:rsid w:val="00371EA6"/>
    <w:rsid w:val="00471DDB"/>
    <w:rsid w:val="004D5D67"/>
    <w:rsid w:val="005A2E70"/>
    <w:rsid w:val="006203D3"/>
    <w:rsid w:val="00912F60"/>
    <w:rsid w:val="0096232E"/>
    <w:rsid w:val="009E2E3A"/>
    <w:rsid w:val="00A077A7"/>
    <w:rsid w:val="00A56235"/>
    <w:rsid w:val="00A6264B"/>
    <w:rsid w:val="00BB1381"/>
    <w:rsid w:val="00BE336E"/>
    <w:rsid w:val="00C133E7"/>
    <w:rsid w:val="00C32C36"/>
    <w:rsid w:val="00C37650"/>
    <w:rsid w:val="00D05394"/>
    <w:rsid w:val="00D21CB0"/>
    <w:rsid w:val="00D523AE"/>
    <w:rsid w:val="00E22B71"/>
    <w:rsid w:val="00E44DC1"/>
    <w:rsid w:val="00E972EB"/>
    <w:rsid w:val="00F04E91"/>
    <w:rsid w:val="00FE7B50"/>
    <w:rsid w:val="00FF5AFE"/>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style>
  <w:style w:type="character" w:styleId="FootnoteReference">
    <w:name w:val="footnote reference"/>
    <w:aliases w:val="Appel note de bas de p,Style 12,(NECG) Footnote Reference,Style 124,o,fr,Style 3,Style 13"/>
    <w:semiHidden/>
    <w:rPr>
      <w:vertAlign w:val="superscript"/>
    </w:rPr>
  </w:style>
  <w:style w:type="paragraph" w:customStyle="1" w:styleId="ParaNum">
    <w:name w:val="ParaNum"/>
    <w:basedOn w:val="Normal"/>
    <w:link w:val="ParaNumChar"/>
    <w:pPr>
      <w:widowControl w:val="0"/>
      <w:spacing w:after="220"/>
      <w:jc w:val="both"/>
    </w:pPr>
    <w:rPr>
      <w:snapToGrid w:val="0"/>
      <w:kern w:val="28"/>
      <w:sz w:val="22"/>
    </w:rPr>
  </w:style>
  <w:style w:type="character" w:customStyle="1" w:styleId="documentbody1">
    <w:name w:val="documentbody1"/>
    <w:rPr>
      <w:rFonts w:ascii="Verdana" w:hAnsi="Verdana" w:hint="default"/>
      <w:sz w:val="19"/>
      <w:szCs w:val="19"/>
    </w:rPr>
  </w:style>
  <w:style w:type="paragraph" w:styleId="ListBullet2">
    <w:name w:val="List Bullet 2"/>
    <w:basedOn w:val="Normal"/>
    <w:pPr>
      <w:numPr>
        <w:numId w:val="4"/>
      </w:numPr>
    </w:pPr>
    <w:rPr>
      <w:sz w:val="22"/>
    </w:rPr>
  </w:style>
  <w:style w:type="paragraph" w:styleId="ListBullet3">
    <w:name w:val="List Bullet 3"/>
    <w:basedOn w:val="Normal"/>
    <w:pPr>
      <w:numPr>
        <w:numId w:val="5"/>
      </w:numPr>
    </w:pPr>
    <w:rPr>
      <w:sz w:val="22"/>
    </w:rPr>
  </w:style>
  <w:style w:type="paragraph" w:styleId="BodyText">
    <w:name w:val="Body Text"/>
    <w:basedOn w:val="Normal"/>
    <w:pPr>
      <w:spacing w:after="120"/>
    </w:pPr>
    <w:rPr>
      <w:sz w:val="22"/>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rPr>
      <w:sz w:val="22"/>
    </w:rPr>
  </w:style>
  <w:style w:type="paragraph" w:styleId="BalloonText">
    <w:name w:val="Balloon Text"/>
    <w:basedOn w:val="Normal"/>
    <w:semiHidden/>
    <w:rPr>
      <w:rFonts w:ascii="Tahoma" w:hAnsi="Tahoma" w:cs="Tahoma"/>
      <w:sz w:val="16"/>
      <w:szCs w:val="16"/>
    </w:rPr>
  </w:style>
  <w:style w:type="character" w:customStyle="1" w:styleId="ParaNumChar">
    <w:name w:val="ParaNum Char"/>
    <w:link w:val="ParaNum"/>
    <w:rPr>
      <w:snapToGrid w:val="0"/>
      <w:kern w:val="28"/>
      <w:sz w:val="22"/>
      <w:lang w:val="en-US" w:eastAsia="en-US" w:bidi="ar-SA"/>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Pr>
      <w:lang w:val="en-US" w:eastAsia="en-US" w:bidi="ar-SA"/>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character" w:customStyle="1" w:styleId="Style12pt">
    <w:name w:val="Style 12 pt"/>
    <w:rPr>
      <w:sz w:val="20"/>
    </w:rPr>
  </w:style>
  <w:style w:type="character" w:customStyle="1" w:styleId="documentbody">
    <w:name w:val="documentbody"/>
    <w:basedOn w:val="DefaultParagraphFont"/>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apple-converted-space">
    <w:name w:val="apple-converted-space"/>
  </w:style>
  <w:style w:type="paragraph" w:styleId="ListParagraph">
    <w:name w:val="List Paragraph"/>
    <w:basedOn w:val="Normal"/>
    <w:uiPriority w:val="34"/>
    <w:qFormat/>
    <w:rsid w:val="00D21CB0"/>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style>
  <w:style w:type="character" w:styleId="FootnoteReference">
    <w:name w:val="footnote reference"/>
    <w:aliases w:val="Appel note de bas de p,Style 12,(NECG) Footnote Reference,Style 124,o,fr,Style 3,Style 13"/>
    <w:semiHidden/>
    <w:rPr>
      <w:vertAlign w:val="superscript"/>
    </w:rPr>
  </w:style>
  <w:style w:type="paragraph" w:customStyle="1" w:styleId="ParaNum">
    <w:name w:val="ParaNum"/>
    <w:basedOn w:val="Normal"/>
    <w:link w:val="ParaNumChar"/>
    <w:pPr>
      <w:widowControl w:val="0"/>
      <w:spacing w:after="220"/>
      <w:jc w:val="both"/>
    </w:pPr>
    <w:rPr>
      <w:snapToGrid w:val="0"/>
      <w:kern w:val="28"/>
      <w:sz w:val="22"/>
    </w:rPr>
  </w:style>
  <w:style w:type="character" w:customStyle="1" w:styleId="documentbody1">
    <w:name w:val="documentbody1"/>
    <w:rPr>
      <w:rFonts w:ascii="Verdana" w:hAnsi="Verdana" w:hint="default"/>
      <w:sz w:val="19"/>
      <w:szCs w:val="19"/>
    </w:rPr>
  </w:style>
  <w:style w:type="paragraph" w:styleId="ListBullet2">
    <w:name w:val="List Bullet 2"/>
    <w:basedOn w:val="Normal"/>
    <w:pPr>
      <w:numPr>
        <w:numId w:val="4"/>
      </w:numPr>
    </w:pPr>
    <w:rPr>
      <w:sz w:val="22"/>
    </w:rPr>
  </w:style>
  <w:style w:type="paragraph" w:styleId="ListBullet3">
    <w:name w:val="List Bullet 3"/>
    <w:basedOn w:val="Normal"/>
    <w:pPr>
      <w:numPr>
        <w:numId w:val="5"/>
      </w:numPr>
    </w:pPr>
    <w:rPr>
      <w:sz w:val="22"/>
    </w:rPr>
  </w:style>
  <w:style w:type="paragraph" w:styleId="BodyText">
    <w:name w:val="Body Text"/>
    <w:basedOn w:val="Normal"/>
    <w:pPr>
      <w:spacing w:after="120"/>
    </w:pPr>
    <w:rPr>
      <w:sz w:val="22"/>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rPr>
      <w:sz w:val="22"/>
    </w:rPr>
  </w:style>
  <w:style w:type="paragraph" w:styleId="BalloonText">
    <w:name w:val="Balloon Text"/>
    <w:basedOn w:val="Normal"/>
    <w:semiHidden/>
    <w:rPr>
      <w:rFonts w:ascii="Tahoma" w:hAnsi="Tahoma" w:cs="Tahoma"/>
      <w:sz w:val="16"/>
      <w:szCs w:val="16"/>
    </w:rPr>
  </w:style>
  <w:style w:type="character" w:customStyle="1" w:styleId="ParaNumChar">
    <w:name w:val="ParaNum Char"/>
    <w:link w:val="ParaNum"/>
    <w:rPr>
      <w:snapToGrid w:val="0"/>
      <w:kern w:val="28"/>
      <w:sz w:val="22"/>
      <w:lang w:val="en-US" w:eastAsia="en-US" w:bidi="ar-SA"/>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Pr>
      <w:lang w:val="en-US" w:eastAsia="en-US" w:bidi="ar-SA"/>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character" w:customStyle="1" w:styleId="Style12pt">
    <w:name w:val="Style 12 pt"/>
    <w:rPr>
      <w:sz w:val="20"/>
    </w:rPr>
  </w:style>
  <w:style w:type="character" w:customStyle="1" w:styleId="documentbody">
    <w:name w:val="documentbody"/>
    <w:basedOn w:val="DefaultParagraphFont"/>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apple-converted-space">
    <w:name w:val="apple-converted-space"/>
  </w:style>
  <w:style w:type="paragraph" w:styleId="ListParagraph">
    <w:name w:val="List Paragraph"/>
    <w:basedOn w:val="Normal"/>
    <w:uiPriority w:val="34"/>
    <w:qFormat/>
    <w:rsid w:val="00D21CB0"/>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21293">
      <w:bodyDiv w:val="1"/>
      <w:marLeft w:val="0"/>
      <w:marRight w:val="0"/>
      <w:marTop w:val="0"/>
      <w:marBottom w:val="0"/>
      <w:divBdr>
        <w:top w:val="none" w:sz="0" w:space="0" w:color="auto"/>
        <w:left w:val="none" w:sz="0" w:space="0" w:color="auto"/>
        <w:bottom w:val="none" w:sz="0" w:space="0" w:color="auto"/>
        <w:right w:val="none" w:sz="0" w:space="0" w:color="auto"/>
      </w:divBdr>
    </w:div>
    <w:div w:id="598564060">
      <w:bodyDiv w:val="1"/>
      <w:marLeft w:val="0"/>
      <w:marRight w:val="0"/>
      <w:marTop w:val="0"/>
      <w:marBottom w:val="0"/>
      <w:divBdr>
        <w:top w:val="none" w:sz="0" w:space="0" w:color="auto"/>
        <w:left w:val="none" w:sz="0" w:space="0" w:color="auto"/>
        <w:bottom w:val="none" w:sz="0" w:space="0" w:color="auto"/>
        <w:right w:val="none" w:sz="0" w:space="0" w:color="auto"/>
      </w:divBdr>
    </w:div>
    <w:div w:id="875700928">
      <w:bodyDiv w:val="1"/>
      <w:marLeft w:val="0"/>
      <w:marRight w:val="0"/>
      <w:marTop w:val="0"/>
      <w:marBottom w:val="0"/>
      <w:divBdr>
        <w:top w:val="none" w:sz="0" w:space="0" w:color="auto"/>
        <w:left w:val="none" w:sz="0" w:space="0" w:color="auto"/>
        <w:bottom w:val="none" w:sz="0" w:space="0" w:color="auto"/>
        <w:right w:val="none" w:sz="0" w:space="0" w:color="auto"/>
      </w:divBdr>
    </w:div>
    <w:div w:id="954403071">
      <w:bodyDiv w:val="1"/>
      <w:marLeft w:val="0"/>
      <w:marRight w:val="0"/>
      <w:marTop w:val="0"/>
      <w:marBottom w:val="0"/>
      <w:divBdr>
        <w:top w:val="none" w:sz="0" w:space="0" w:color="auto"/>
        <w:left w:val="none" w:sz="0" w:space="0" w:color="auto"/>
        <w:bottom w:val="none" w:sz="0" w:space="0" w:color="auto"/>
        <w:right w:val="none" w:sz="0" w:space="0" w:color="auto"/>
      </w:divBdr>
    </w:div>
    <w:div w:id="1165633081">
      <w:bodyDiv w:val="1"/>
      <w:marLeft w:val="0"/>
      <w:marRight w:val="0"/>
      <w:marTop w:val="0"/>
      <w:marBottom w:val="0"/>
      <w:divBdr>
        <w:top w:val="none" w:sz="0" w:space="0" w:color="auto"/>
        <w:left w:val="none" w:sz="0" w:space="0" w:color="auto"/>
        <w:bottom w:val="none" w:sz="0" w:space="0" w:color="auto"/>
        <w:right w:val="none" w:sz="0" w:space="0" w:color="auto"/>
      </w:divBdr>
    </w:div>
    <w:div w:id="1279409822">
      <w:bodyDiv w:val="1"/>
      <w:marLeft w:val="0"/>
      <w:marRight w:val="0"/>
      <w:marTop w:val="0"/>
      <w:marBottom w:val="0"/>
      <w:divBdr>
        <w:top w:val="none" w:sz="0" w:space="0" w:color="auto"/>
        <w:left w:val="none" w:sz="0" w:space="0" w:color="auto"/>
        <w:bottom w:val="none" w:sz="0" w:space="0" w:color="auto"/>
        <w:right w:val="none" w:sz="0" w:space="0" w:color="auto"/>
      </w:divBdr>
    </w:div>
    <w:div w:id="1449349929">
      <w:bodyDiv w:val="1"/>
      <w:marLeft w:val="0"/>
      <w:marRight w:val="0"/>
      <w:marTop w:val="0"/>
      <w:marBottom w:val="0"/>
      <w:divBdr>
        <w:top w:val="none" w:sz="0" w:space="0" w:color="auto"/>
        <w:left w:val="none" w:sz="0" w:space="0" w:color="auto"/>
        <w:bottom w:val="none" w:sz="0" w:space="0" w:color="auto"/>
        <w:right w:val="none" w:sz="0" w:space="0" w:color="auto"/>
      </w:divBdr>
    </w:div>
    <w:div w:id="1791196893">
      <w:bodyDiv w:val="1"/>
      <w:marLeft w:val="0"/>
      <w:marRight w:val="0"/>
      <w:marTop w:val="0"/>
      <w:marBottom w:val="0"/>
      <w:divBdr>
        <w:top w:val="none" w:sz="0" w:space="0" w:color="auto"/>
        <w:left w:val="none" w:sz="0" w:space="0" w:color="auto"/>
        <w:bottom w:val="none" w:sz="0" w:space="0" w:color="auto"/>
        <w:right w:val="none" w:sz="0" w:space="0" w:color="auto"/>
      </w:divBdr>
    </w:div>
    <w:div w:id="184027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echTaskForce@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blog/ip-transition-starting-no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raunfoss.fcc.gov/edocs_public/attachmatch/DA-13-20A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1132</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1327</CharactersWithSpaces>
  <SharedDoc>false</SharedDoc>
  <HyperlinkBase> </HyperlinkBase>
  <HLinks>
    <vt:vector size="12" baseType="variant">
      <vt:variant>
        <vt:i4>1507363</vt:i4>
      </vt:variant>
      <vt:variant>
        <vt:i4>0</vt:i4>
      </vt:variant>
      <vt:variant>
        <vt:i4>0</vt:i4>
      </vt:variant>
      <vt:variant>
        <vt:i4>5</vt:i4>
      </vt:variant>
      <vt:variant>
        <vt:lpwstr>mailto:TechTaskForce@fcc.gov</vt:lpwstr>
      </vt:variant>
      <vt:variant>
        <vt:lpwstr/>
      </vt:variant>
      <vt:variant>
        <vt:i4>5439614</vt:i4>
      </vt:variant>
      <vt:variant>
        <vt:i4>0</vt:i4>
      </vt:variant>
      <vt:variant>
        <vt:i4>0</vt:i4>
      </vt:variant>
      <vt:variant>
        <vt:i4>5</vt:i4>
      </vt:variant>
      <vt:variant>
        <vt:lpwstr>http://hraunfoss.fcc.gov/edocs_public/attachmatch/DA-13-20A1.pdf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2009-10-06T15:02:00Z</cp:lastPrinted>
  <dcterms:created xsi:type="dcterms:W3CDTF">2013-11-19T21:14:00Z</dcterms:created>
  <dcterms:modified xsi:type="dcterms:W3CDTF">2013-11-19T21:14:00Z</dcterms:modified>
  <cp:category> </cp:category>
  <cp:contentStatus> </cp:contentStatus>
</cp:coreProperties>
</file>