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10" w:rsidRDefault="00632910">
      <w:pPr>
        <w:jc w:val="center"/>
        <w:rPr>
          <w:b/>
          <w:szCs w:val="22"/>
        </w:rPr>
      </w:pPr>
      <w:bookmarkStart w:id="0" w:name="_GoBack"/>
      <w:bookmarkEnd w:id="0"/>
      <w:r>
        <w:rPr>
          <w:b/>
          <w:kern w:val="0"/>
          <w:szCs w:val="22"/>
        </w:rPr>
        <w:t>Before</w:t>
      </w:r>
      <w:r>
        <w:rPr>
          <w:b/>
          <w:szCs w:val="22"/>
        </w:rPr>
        <w:t xml:space="preserve"> the</w:t>
      </w:r>
    </w:p>
    <w:p w:rsidR="00632910" w:rsidRDefault="00632910">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632910" w:rsidRDefault="00632910">
      <w:pPr>
        <w:pStyle w:val="StyleBoldCentered"/>
        <w:rPr>
          <w:rFonts w:ascii="Times New Roman" w:hAnsi="Times New Roman"/>
        </w:rPr>
      </w:pPr>
      <w:r>
        <w:rPr>
          <w:rFonts w:ascii="Times New Roman" w:hAnsi="Times New Roman"/>
        </w:rPr>
        <w:t>Washington, D.C. 20554</w:t>
      </w:r>
    </w:p>
    <w:p w:rsidR="00632910" w:rsidRDefault="00632910">
      <w:pPr>
        <w:rPr>
          <w:szCs w:val="22"/>
        </w:rPr>
      </w:pPr>
    </w:p>
    <w:p w:rsidR="00632910" w:rsidRDefault="00632910">
      <w:pPr>
        <w:rPr>
          <w:szCs w:val="22"/>
        </w:rPr>
      </w:pPr>
    </w:p>
    <w:tbl>
      <w:tblPr>
        <w:tblW w:w="0" w:type="auto"/>
        <w:tblLayout w:type="fixed"/>
        <w:tblLook w:val="0000" w:firstRow="0" w:lastRow="0" w:firstColumn="0" w:lastColumn="0" w:noHBand="0" w:noVBand="0"/>
      </w:tblPr>
      <w:tblGrid>
        <w:gridCol w:w="4698"/>
        <w:gridCol w:w="630"/>
        <w:gridCol w:w="4248"/>
      </w:tblGrid>
      <w:tr w:rsidR="00632910" w:rsidTr="00C15E9C">
        <w:trPr>
          <w:trHeight w:val="4140"/>
        </w:trPr>
        <w:tc>
          <w:tcPr>
            <w:tcW w:w="4698" w:type="dxa"/>
          </w:tcPr>
          <w:p w:rsidR="00632910" w:rsidRDefault="00632910">
            <w:pPr>
              <w:tabs>
                <w:tab w:val="center" w:pos="4680"/>
              </w:tabs>
              <w:suppressAutoHyphens/>
              <w:rPr>
                <w:spacing w:val="-2"/>
                <w:szCs w:val="22"/>
              </w:rPr>
            </w:pPr>
            <w:r>
              <w:rPr>
                <w:spacing w:val="-2"/>
                <w:szCs w:val="22"/>
              </w:rPr>
              <w:t>In the Matter of</w:t>
            </w:r>
          </w:p>
          <w:p w:rsidR="00632910" w:rsidRDefault="00632910">
            <w:pPr>
              <w:tabs>
                <w:tab w:val="center" w:pos="4680"/>
              </w:tabs>
              <w:suppressAutoHyphens/>
              <w:rPr>
                <w:spacing w:val="-2"/>
                <w:szCs w:val="22"/>
              </w:rPr>
            </w:pPr>
          </w:p>
          <w:p w:rsidR="00632910" w:rsidRDefault="00632910">
            <w:pPr>
              <w:tabs>
                <w:tab w:val="center" w:pos="4680"/>
              </w:tabs>
              <w:suppressAutoHyphens/>
              <w:rPr>
                <w:spacing w:val="-2"/>
                <w:szCs w:val="22"/>
              </w:rPr>
            </w:pPr>
            <w:r>
              <w:rPr>
                <w:spacing w:val="-2"/>
                <w:szCs w:val="22"/>
              </w:rPr>
              <w:t>Implementation of Sections 716 and 717 of the Communications Act of 1934, as Enacted by the Twenty-First Century Communications and Video Accessibility Act of 2010</w:t>
            </w:r>
          </w:p>
          <w:p w:rsidR="00632910" w:rsidRDefault="00632910">
            <w:pPr>
              <w:tabs>
                <w:tab w:val="center" w:pos="4680"/>
              </w:tabs>
              <w:suppressAutoHyphens/>
              <w:rPr>
                <w:spacing w:val="-2"/>
                <w:szCs w:val="22"/>
              </w:rPr>
            </w:pPr>
          </w:p>
          <w:p w:rsidR="00632910" w:rsidRDefault="006C01E5">
            <w:pPr>
              <w:tabs>
                <w:tab w:val="center" w:pos="4680"/>
              </w:tabs>
              <w:suppressAutoHyphens/>
              <w:rPr>
                <w:spacing w:val="-2"/>
                <w:szCs w:val="22"/>
              </w:rPr>
            </w:pPr>
            <w:r>
              <w:rPr>
                <w:spacing w:val="-2"/>
                <w:szCs w:val="22"/>
              </w:rPr>
              <w:t xml:space="preserve">Coalition of E-Reader Manufacturers </w:t>
            </w:r>
            <w:r w:rsidR="00C15E9C">
              <w:rPr>
                <w:spacing w:val="-2"/>
                <w:szCs w:val="22"/>
              </w:rPr>
              <w:t>Petition</w:t>
            </w:r>
            <w:r w:rsidR="0096462E">
              <w:rPr>
                <w:spacing w:val="-2"/>
                <w:szCs w:val="22"/>
              </w:rPr>
              <w:t xml:space="preserve"> for Class Waiver</w:t>
            </w:r>
            <w:r w:rsidR="00632910">
              <w:rPr>
                <w:spacing w:val="-2"/>
                <w:szCs w:val="22"/>
              </w:rPr>
              <w:t xml:space="preserve"> of Sections 716 and 717 of the Communications Act and Part 14 of the Commission’s Rules Requiring Access to Advanced Communications Services (ACS) and Equipment by People with Disabilities</w:t>
            </w:r>
          </w:p>
        </w:tc>
        <w:tc>
          <w:tcPr>
            <w:tcW w:w="630" w:type="dxa"/>
          </w:tcPr>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632910">
            <w:pPr>
              <w:tabs>
                <w:tab w:val="center" w:pos="4680"/>
              </w:tabs>
              <w:suppressAutoHyphens/>
              <w:rPr>
                <w:b/>
                <w:spacing w:val="-2"/>
                <w:szCs w:val="22"/>
              </w:rPr>
            </w:pPr>
            <w:r>
              <w:rPr>
                <w:b/>
                <w:spacing w:val="-2"/>
                <w:szCs w:val="22"/>
              </w:rPr>
              <w:t>)</w:t>
            </w:r>
          </w:p>
          <w:p w:rsidR="00632910" w:rsidRDefault="00DE1CFA" w:rsidP="00DE1CFA">
            <w:pPr>
              <w:tabs>
                <w:tab w:val="center" w:pos="4680"/>
              </w:tabs>
              <w:suppressAutoHyphens/>
              <w:rPr>
                <w:spacing w:val="-2"/>
                <w:szCs w:val="22"/>
              </w:rPr>
            </w:pPr>
            <w:r>
              <w:rPr>
                <w:b/>
                <w:spacing w:val="-2"/>
                <w:szCs w:val="22"/>
              </w:rPr>
              <w:t>)</w:t>
            </w:r>
            <w:r>
              <w:rPr>
                <w:b/>
                <w:spacing w:val="-2"/>
                <w:szCs w:val="22"/>
              </w:rPr>
              <w:br/>
              <w:t>)</w:t>
            </w:r>
            <w:r>
              <w:rPr>
                <w:b/>
                <w:spacing w:val="-2"/>
                <w:szCs w:val="22"/>
              </w:rPr>
              <w:br/>
              <w:t>)</w:t>
            </w:r>
            <w:r>
              <w:rPr>
                <w:b/>
                <w:spacing w:val="-2"/>
                <w:szCs w:val="22"/>
              </w:rPr>
              <w:br/>
              <w:t>)</w:t>
            </w:r>
            <w:r>
              <w:rPr>
                <w:b/>
                <w:spacing w:val="-2"/>
                <w:szCs w:val="22"/>
              </w:rPr>
              <w:br/>
              <w:t>)</w:t>
            </w:r>
            <w:r>
              <w:rPr>
                <w:b/>
                <w:spacing w:val="-2"/>
                <w:szCs w:val="22"/>
              </w:rPr>
              <w:br/>
              <w:t>)</w:t>
            </w:r>
            <w:r>
              <w:rPr>
                <w:b/>
                <w:spacing w:val="-2"/>
                <w:szCs w:val="22"/>
              </w:rPr>
              <w:br/>
            </w:r>
            <w:r w:rsidR="00C15E9C">
              <w:rPr>
                <w:b/>
                <w:spacing w:val="-2"/>
                <w:szCs w:val="22"/>
              </w:rPr>
              <w:br/>
            </w:r>
          </w:p>
        </w:tc>
        <w:tc>
          <w:tcPr>
            <w:tcW w:w="4248" w:type="dxa"/>
          </w:tcPr>
          <w:p w:rsidR="00632910" w:rsidRDefault="00632910">
            <w:pPr>
              <w:tabs>
                <w:tab w:val="center" w:pos="4680"/>
              </w:tabs>
              <w:suppressAutoHyphens/>
              <w:rPr>
                <w:spacing w:val="-2"/>
                <w:szCs w:val="22"/>
              </w:rPr>
            </w:pPr>
          </w:p>
          <w:p w:rsidR="00632910" w:rsidRDefault="00632910">
            <w:pPr>
              <w:pStyle w:val="TOAHeading"/>
              <w:tabs>
                <w:tab w:val="clear" w:pos="9360"/>
                <w:tab w:val="center" w:pos="4680"/>
              </w:tabs>
              <w:rPr>
                <w:spacing w:val="-2"/>
                <w:szCs w:val="22"/>
              </w:rPr>
            </w:pPr>
          </w:p>
          <w:p w:rsidR="00632910" w:rsidRDefault="00632910">
            <w:pPr>
              <w:tabs>
                <w:tab w:val="center" w:pos="4680"/>
              </w:tabs>
              <w:suppressAutoHyphens/>
              <w:rPr>
                <w:spacing w:val="-2"/>
                <w:szCs w:val="22"/>
              </w:rPr>
            </w:pPr>
            <w:r>
              <w:rPr>
                <w:spacing w:val="-2"/>
                <w:szCs w:val="22"/>
              </w:rPr>
              <w:t>CG Docket No. 10-213</w:t>
            </w:r>
          </w:p>
        </w:tc>
      </w:tr>
    </w:tbl>
    <w:p w:rsidR="00632910" w:rsidRDefault="00632910">
      <w:pPr>
        <w:pStyle w:val="StyleBoldCentered"/>
        <w:rPr>
          <w:rFonts w:ascii="Times New Roman" w:hAnsi="Times New Roman"/>
        </w:rPr>
      </w:pPr>
      <w:r>
        <w:rPr>
          <w:rFonts w:ascii="Times New Roman" w:hAnsi="Times New Roman"/>
        </w:rPr>
        <w:t>ORDER</w:t>
      </w:r>
    </w:p>
    <w:p w:rsidR="00632910" w:rsidRDefault="00632910">
      <w:pPr>
        <w:tabs>
          <w:tab w:val="left" w:pos="-720"/>
        </w:tabs>
        <w:suppressAutoHyphens/>
        <w:spacing w:line="227" w:lineRule="auto"/>
        <w:rPr>
          <w:spacing w:val="-2"/>
          <w:szCs w:val="22"/>
        </w:rPr>
      </w:pPr>
    </w:p>
    <w:p w:rsidR="00632910" w:rsidRDefault="00632910">
      <w:pPr>
        <w:tabs>
          <w:tab w:val="left" w:pos="720"/>
          <w:tab w:val="left" w:pos="5760"/>
        </w:tabs>
        <w:suppressAutoHyphens/>
        <w:spacing w:line="227" w:lineRule="auto"/>
        <w:rPr>
          <w:spacing w:val="-2"/>
          <w:szCs w:val="22"/>
        </w:rPr>
      </w:pPr>
      <w:r>
        <w:rPr>
          <w:b/>
          <w:spacing w:val="-2"/>
          <w:szCs w:val="22"/>
        </w:rPr>
        <w:t xml:space="preserve">Adopted:  </w:t>
      </w:r>
      <w:r w:rsidR="00CC7310">
        <w:rPr>
          <w:b/>
          <w:spacing w:val="-2"/>
          <w:szCs w:val="22"/>
        </w:rPr>
        <w:t>October</w:t>
      </w:r>
      <w:r w:rsidR="00A0366E">
        <w:rPr>
          <w:b/>
          <w:spacing w:val="-2"/>
          <w:szCs w:val="22"/>
        </w:rPr>
        <w:t xml:space="preserve"> </w:t>
      </w:r>
      <w:r w:rsidR="00DE1CFA">
        <w:rPr>
          <w:b/>
          <w:spacing w:val="-2"/>
          <w:szCs w:val="22"/>
        </w:rPr>
        <w:t>22</w:t>
      </w:r>
      <w:r w:rsidR="00F152DF">
        <w:rPr>
          <w:b/>
          <w:spacing w:val="-2"/>
          <w:szCs w:val="22"/>
        </w:rPr>
        <w:t>, 2013</w:t>
      </w:r>
      <w:r>
        <w:rPr>
          <w:b/>
          <w:spacing w:val="-2"/>
          <w:szCs w:val="22"/>
        </w:rPr>
        <w:tab/>
        <w:t xml:space="preserve">Released:  </w:t>
      </w:r>
      <w:r w:rsidR="00CC7310">
        <w:rPr>
          <w:b/>
          <w:spacing w:val="-2"/>
          <w:szCs w:val="22"/>
        </w:rPr>
        <w:t xml:space="preserve">October </w:t>
      </w:r>
      <w:r w:rsidR="00DE1CFA">
        <w:rPr>
          <w:b/>
          <w:spacing w:val="-2"/>
          <w:szCs w:val="22"/>
        </w:rPr>
        <w:t>22</w:t>
      </w:r>
      <w:r>
        <w:rPr>
          <w:b/>
          <w:spacing w:val="-2"/>
          <w:szCs w:val="22"/>
        </w:rPr>
        <w:t>, 201</w:t>
      </w:r>
      <w:r w:rsidR="00F152DF">
        <w:rPr>
          <w:b/>
          <w:spacing w:val="-2"/>
          <w:szCs w:val="22"/>
        </w:rPr>
        <w:t>3</w:t>
      </w:r>
    </w:p>
    <w:p w:rsidR="00632910" w:rsidRDefault="00632910">
      <w:pPr>
        <w:rPr>
          <w:szCs w:val="22"/>
        </w:rPr>
      </w:pPr>
    </w:p>
    <w:p w:rsidR="00632910" w:rsidRDefault="00632910">
      <w:pPr>
        <w:rPr>
          <w:spacing w:val="-2"/>
          <w:szCs w:val="22"/>
        </w:rPr>
      </w:pPr>
      <w:r>
        <w:rPr>
          <w:szCs w:val="22"/>
        </w:rPr>
        <w:t xml:space="preserve">By the </w:t>
      </w:r>
      <w:r>
        <w:rPr>
          <w:spacing w:val="-2"/>
          <w:szCs w:val="22"/>
        </w:rPr>
        <w:t>Acting Chief, Consumer and Governmental Affairs Bureau:</w:t>
      </w:r>
    </w:p>
    <w:p w:rsidR="00632910" w:rsidRDefault="00632910">
      <w:pPr>
        <w:rPr>
          <w:spacing w:val="-2"/>
          <w:szCs w:val="22"/>
        </w:rPr>
      </w:pPr>
    </w:p>
    <w:p w:rsidR="00632910" w:rsidRDefault="00632910">
      <w:pPr>
        <w:pStyle w:val="Heading1"/>
        <w:rPr>
          <w:rFonts w:ascii="Times New Roman" w:hAnsi="Times New Roman"/>
          <w:szCs w:val="22"/>
        </w:rPr>
      </w:pPr>
      <w:r>
        <w:rPr>
          <w:rFonts w:ascii="Times New Roman" w:hAnsi="Times New Roman"/>
          <w:szCs w:val="22"/>
        </w:rPr>
        <w:t>INTRODUCTION</w:t>
      </w:r>
    </w:p>
    <w:p w:rsidR="001327F7" w:rsidRPr="001327F7" w:rsidRDefault="001327F7">
      <w:pPr>
        <w:pStyle w:val="ParaNum"/>
        <w:rPr>
          <w:szCs w:val="22"/>
        </w:rPr>
      </w:pPr>
      <w:r>
        <w:rPr>
          <w:szCs w:val="22"/>
        </w:rPr>
        <w:t>In this Order, the Consumer and Governmental Affairs Bureau (CGB</w:t>
      </w:r>
      <w:r w:rsidR="00AF047F">
        <w:rPr>
          <w:szCs w:val="22"/>
        </w:rPr>
        <w:t xml:space="preserve"> or </w:t>
      </w:r>
      <w:r w:rsidR="001544EA">
        <w:rPr>
          <w:szCs w:val="22"/>
        </w:rPr>
        <w:t>Bureau</w:t>
      </w:r>
      <w:r>
        <w:rPr>
          <w:szCs w:val="22"/>
        </w:rPr>
        <w:t>), pursuant to its delegated authority</w:t>
      </w:r>
      <w:r>
        <w:rPr>
          <w:rStyle w:val="FootnoteReference"/>
          <w:szCs w:val="22"/>
        </w:rPr>
        <w:footnoteReference w:id="2"/>
      </w:r>
      <w:r w:rsidR="00F5373B">
        <w:rPr>
          <w:szCs w:val="22"/>
        </w:rPr>
        <w:t xml:space="preserve"> and section 1.3 of the Commission’s rules,</w:t>
      </w:r>
      <w:r w:rsidR="00F5373B">
        <w:rPr>
          <w:rStyle w:val="FootnoteReference"/>
          <w:szCs w:val="22"/>
        </w:rPr>
        <w:footnoteReference w:id="3"/>
      </w:r>
      <w:r>
        <w:rPr>
          <w:szCs w:val="22"/>
        </w:rPr>
        <w:t xml:space="preserve"> provides temporary relief in </w:t>
      </w:r>
      <w:r w:rsidR="0074081F">
        <w:rPr>
          <w:szCs w:val="22"/>
        </w:rPr>
        <w:t xml:space="preserve">response </w:t>
      </w:r>
      <w:r>
        <w:rPr>
          <w:szCs w:val="22"/>
        </w:rPr>
        <w:t xml:space="preserve">to a petition (Petition) filed by the </w:t>
      </w:r>
      <w:r w:rsidRPr="00C15E9C">
        <w:rPr>
          <w:snapToGrid/>
          <w:kern w:val="0"/>
          <w:szCs w:val="22"/>
        </w:rPr>
        <w:t>Coalition of E-Reader Manufacturers</w:t>
      </w:r>
      <w:r>
        <w:rPr>
          <w:snapToGrid/>
          <w:kern w:val="0"/>
          <w:szCs w:val="22"/>
        </w:rPr>
        <w:t xml:space="preserve"> (Coalition)</w:t>
      </w:r>
      <w:r w:rsidRPr="00C15E9C">
        <w:rPr>
          <w:snapToGrid/>
          <w:kern w:val="0"/>
          <w:szCs w:val="22"/>
          <w:vertAlign w:val="superscript"/>
        </w:rPr>
        <w:footnoteReference w:id="4"/>
      </w:r>
      <w:r>
        <w:rPr>
          <w:snapToGrid/>
          <w:kern w:val="0"/>
          <w:szCs w:val="22"/>
        </w:rPr>
        <w:t xml:space="preserve"> on May 16, 2013, </w:t>
      </w:r>
      <w:r>
        <w:rPr>
          <w:szCs w:val="22"/>
        </w:rPr>
        <w:t>for a class waiver of the Federal Communications Commission’s (Commission’s) rules implementing sections 716 and 717 of the Communications Act of 1934, as amended (Act),</w:t>
      </w:r>
      <w:r>
        <w:rPr>
          <w:rStyle w:val="FootnoteReference"/>
          <w:szCs w:val="22"/>
        </w:rPr>
        <w:footnoteReference w:id="5"/>
      </w:r>
      <w:r>
        <w:rPr>
          <w:szCs w:val="22"/>
        </w:rPr>
        <w:t xml:space="preserve"> which require access to advanced communications services (ACS) and equipment by people with disabilities.  </w:t>
      </w:r>
      <w:r w:rsidR="00193A14">
        <w:rPr>
          <w:szCs w:val="22"/>
        </w:rPr>
        <w:t>Under the phased-in implementation schedule for these rules,</w:t>
      </w:r>
      <w:r w:rsidR="00193A14" w:rsidRPr="00193A14">
        <w:t xml:space="preserve"> </w:t>
      </w:r>
      <w:r w:rsidR="00193A14">
        <w:t>beginning October 8, 2013, ACS products or services offered in interstate commerce must be accessible, unless not achievable</w:t>
      </w:r>
      <w:r>
        <w:rPr>
          <w:szCs w:val="22"/>
        </w:rPr>
        <w:t>.</w:t>
      </w:r>
      <w:r>
        <w:rPr>
          <w:rStyle w:val="FootnoteReference"/>
          <w:szCs w:val="22"/>
        </w:rPr>
        <w:footnoteReference w:id="6"/>
      </w:r>
      <w:r>
        <w:rPr>
          <w:szCs w:val="22"/>
        </w:rPr>
        <w:t xml:space="preserve">  The Coalition </w:t>
      </w:r>
      <w:r>
        <w:rPr>
          <w:szCs w:val="22"/>
        </w:rPr>
        <w:lastRenderedPageBreak/>
        <w:t>requests a waiver of</w:t>
      </w:r>
      <w:r w:rsidRPr="00C15E9C">
        <w:rPr>
          <w:snapToGrid/>
          <w:kern w:val="0"/>
        </w:rPr>
        <w:t xml:space="preserve"> these rules</w:t>
      </w:r>
      <w:r>
        <w:rPr>
          <w:snapToGrid/>
          <w:kern w:val="0"/>
        </w:rPr>
        <w:t xml:space="preserve"> as they</w:t>
      </w:r>
      <w:r w:rsidRPr="00C15E9C">
        <w:rPr>
          <w:snapToGrid/>
          <w:kern w:val="0"/>
        </w:rPr>
        <w:t xml:space="preserve"> apply to </w:t>
      </w:r>
      <w:r>
        <w:rPr>
          <w:snapToGrid/>
          <w:kern w:val="0"/>
        </w:rPr>
        <w:t>“</w:t>
      </w:r>
      <w:r w:rsidRPr="00B650C3">
        <w:rPr>
          <w:szCs w:val="22"/>
        </w:rPr>
        <w:t>multiple generations</w:t>
      </w:r>
      <w:r>
        <w:rPr>
          <w:szCs w:val="22"/>
        </w:rPr>
        <w:t>”</w:t>
      </w:r>
      <w:r w:rsidRPr="000C1828">
        <w:rPr>
          <w:rStyle w:val="FootnoteReference"/>
          <w:szCs w:val="22"/>
        </w:rPr>
        <w:t xml:space="preserve"> </w:t>
      </w:r>
      <w:r>
        <w:rPr>
          <w:rStyle w:val="FootnoteReference"/>
          <w:szCs w:val="22"/>
        </w:rPr>
        <w:footnoteReference w:id="7"/>
      </w:r>
      <w:r>
        <w:rPr>
          <w:szCs w:val="22"/>
        </w:rPr>
        <w:t xml:space="preserve"> of</w:t>
      </w:r>
      <w:r>
        <w:rPr>
          <w:snapToGrid/>
          <w:kern w:val="0"/>
        </w:rPr>
        <w:t xml:space="preserve"> a</w:t>
      </w:r>
      <w:r w:rsidRPr="00C15E9C">
        <w:rPr>
          <w:snapToGrid/>
          <w:kern w:val="0"/>
        </w:rPr>
        <w:t xml:space="preserve"> specified class of e-reader equipment</w:t>
      </w:r>
      <w:r>
        <w:rPr>
          <w:snapToGrid/>
          <w:kern w:val="0"/>
        </w:rPr>
        <w:t xml:space="preserve"> </w:t>
      </w:r>
      <w:r w:rsidRPr="00B650C3">
        <w:rPr>
          <w:szCs w:val="22"/>
        </w:rPr>
        <w:t xml:space="preserve">that </w:t>
      </w:r>
      <w:r>
        <w:rPr>
          <w:szCs w:val="22"/>
        </w:rPr>
        <w:t>it</w:t>
      </w:r>
      <w:r>
        <w:rPr>
          <w:snapToGrid/>
          <w:kern w:val="0"/>
        </w:rPr>
        <w:t xml:space="preserve"> defines </w:t>
      </w:r>
      <w:r>
        <w:rPr>
          <w:szCs w:val="22"/>
        </w:rPr>
        <w:t>as</w:t>
      </w:r>
      <w:r w:rsidRPr="00C15E9C">
        <w:rPr>
          <w:szCs w:val="22"/>
        </w:rPr>
        <w:t xml:space="preserve"> hav</w:t>
      </w:r>
      <w:r>
        <w:rPr>
          <w:szCs w:val="22"/>
        </w:rPr>
        <w:t>ing</w:t>
      </w:r>
      <w:r w:rsidRPr="00C15E9C">
        <w:rPr>
          <w:szCs w:val="22"/>
        </w:rPr>
        <w:t xml:space="preserve"> all of the following features: (1) the device has no LCD screen; (2) the device has no camera; (3) the device is not offered or shipped to consumers with built-in email, IM</w:t>
      </w:r>
      <w:r w:rsidR="006C01E5">
        <w:rPr>
          <w:szCs w:val="22"/>
        </w:rPr>
        <w:t>,</w:t>
      </w:r>
      <w:r w:rsidRPr="00C15E9C">
        <w:rPr>
          <w:szCs w:val="22"/>
        </w:rPr>
        <w:t xml:space="preserve"> VoIP or other similar ACS client applications and the device manufacturer does not develop ACS applications for its respective device; and (4) the device is marketed to consumers as a reading device and promotional material about the device does not tout the capability to access ACS</w:t>
      </w:r>
      <w:r w:rsidRPr="00C15E9C">
        <w:rPr>
          <w:snapToGrid/>
          <w:kern w:val="0"/>
        </w:rPr>
        <w:t>.</w:t>
      </w:r>
      <w:r>
        <w:rPr>
          <w:rStyle w:val="FootnoteReference"/>
          <w:snapToGrid/>
          <w:kern w:val="0"/>
        </w:rPr>
        <w:footnoteReference w:id="8"/>
      </w:r>
      <w:r w:rsidRPr="00C15E9C">
        <w:rPr>
          <w:snapToGrid/>
          <w:kern w:val="0"/>
          <w:szCs w:val="22"/>
        </w:rPr>
        <w:t xml:space="preserve">  </w:t>
      </w:r>
      <w:r>
        <w:rPr>
          <w:snapToGrid/>
          <w:kern w:val="0"/>
          <w:szCs w:val="22"/>
        </w:rPr>
        <w:t xml:space="preserve"> </w:t>
      </w:r>
      <w:r w:rsidRPr="00C15E9C">
        <w:rPr>
          <w:snapToGrid/>
          <w:kern w:val="0"/>
          <w:szCs w:val="22"/>
        </w:rPr>
        <w:t>On August 1, 2013, the Commission issued a Public Notice</w:t>
      </w:r>
      <w:r>
        <w:rPr>
          <w:snapToGrid/>
          <w:kern w:val="0"/>
          <w:szCs w:val="22"/>
        </w:rPr>
        <w:t xml:space="preserve"> requesting comment on the </w:t>
      </w:r>
      <w:r w:rsidRPr="00C15E9C">
        <w:rPr>
          <w:snapToGrid/>
          <w:kern w:val="0"/>
          <w:szCs w:val="22"/>
        </w:rPr>
        <w:t>Petition</w:t>
      </w:r>
      <w:r>
        <w:rPr>
          <w:snapToGrid/>
          <w:kern w:val="0"/>
          <w:szCs w:val="22"/>
        </w:rPr>
        <w:t xml:space="preserve">, with the comment period closing on September </w:t>
      </w:r>
      <w:r w:rsidR="005362EC">
        <w:rPr>
          <w:snapToGrid/>
          <w:kern w:val="0"/>
          <w:szCs w:val="22"/>
        </w:rPr>
        <w:t>1</w:t>
      </w:r>
      <w:r>
        <w:rPr>
          <w:snapToGrid/>
          <w:kern w:val="0"/>
          <w:szCs w:val="22"/>
        </w:rPr>
        <w:t>3</w:t>
      </w:r>
      <w:r w:rsidR="0074081F">
        <w:rPr>
          <w:snapToGrid/>
          <w:kern w:val="0"/>
          <w:szCs w:val="22"/>
        </w:rPr>
        <w:t>,</w:t>
      </w:r>
      <w:r>
        <w:rPr>
          <w:snapToGrid/>
          <w:kern w:val="0"/>
          <w:szCs w:val="22"/>
        </w:rPr>
        <w:t xml:space="preserve"> 2013.</w:t>
      </w:r>
      <w:r w:rsidRPr="00C15E9C">
        <w:rPr>
          <w:snapToGrid/>
          <w:kern w:val="0"/>
          <w:szCs w:val="22"/>
          <w:vertAlign w:val="superscript"/>
        </w:rPr>
        <w:footnoteReference w:id="9"/>
      </w:r>
      <w:r w:rsidRPr="00C15E9C">
        <w:rPr>
          <w:snapToGrid/>
          <w:kern w:val="0"/>
          <w:szCs w:val="22"/>
        </w:rPr>
        <w:t xml:space="preserve"> </w:t>
      </w:r>
      <w:r>
        <w:rPr>
          <w:szCs w:val="22"/>
        </w:rPr>
        <w:t xml:space="preserve"> For the reasons set forth below</w:t>
      </w:r>
      <w:r w:rsidR="00152756">
        <w:rPr>
          <w:szCs w:val="22"/>
        </w:rPr>
        <w:t xml:space="preserve"> and pursuant to section 1.3 of the Commission’s rules</w:t>
      </w:r>
      <w:r>
        <w:rPr>
          <w:szCs w:val="22"/>
        </w:rPr>
        <w:t>,</w:t>
      </w:r>
      <w:r w:rsidR="00152756">
        <w:rPr>
          <w:rStyle w:val="FootnoteReference"/>
          <w:szCs w:val="22"/>
        </w:rPr>
        <w:footnoteReference w:id="10"/>
      </w:r>
      <w:r>
        <w:rPr>
          <w:szCs w:val="22"/>
        </w:rPr>
        <w:t xml:space="preserve"> </w:t>
      </w:r>
      <w:r>
        <w:rPr>
          <w:snapToGrid/>
          <w:kern w:val="0"/>
          <w:szCs w:val="22"/>
        </w:rPr>
        <w:t xml:space="preserve">the </w:t>
      </w:r>
      <w:r w:rsidR="0074081F">
        <w:rPr>
          <w:snapToGrid/>
          <w:kern w:val="0"/>
          <w:szCs w:val="22"/>
        </w:rPr>
        <w:t>Bureau</w:t>
      </w:r>
      <w:r>
        <w:rPr>
          <w:snapToGrid/>
          <w:kern w:val="0"/>
          <w:szCs w:val="22"/>
        </w:rPr>
        <w:t xml:space="preserve"> </w:t>
      </w:r>
      <w:r w:rsidRPr="00C15E9C">
        <w:rPr>
          <w:snapToGrid/>
          <w:kern w:val="0"/>
        </w:rPr>
        <w:t xml:space="preserve">issues a temporary waiver, until January 28, 2014, of </w:t>
      </w:r>
      <w:r>
        <w:rPr>
          <w:snapToGrid/>
          <w:kern w:val="0"/>
        </w:rPr>
        <w:t>Part 14 of the Commission</w:t>
      </w:r>
      <w:r w:rsidR="0074081F">
        <w:rPr>
          <w:snapToGrid/>
          <w:kern w:val="0"/>
        </w:rPr>
        <w:t>’s</w:t>
      </w:r>
      <w:r>
        <w:rPr>
          <w:snapToGrid/>
          <w:kern w:val="0"/>
        </w:rPr>
        <w:t xml:space="preserve"> rules </w:t>
      </w:r>
      <w:r w:rsidRPr="00C15E9C">
        <w:rPr>
          <w:snapToGrid/>
          <w:kern w:val="0"/>
        </w:rPr>
        <w:t>as these rules apply to the specified class of e-reader equipment.</w:t>
      </w:r>
      <w:r w:rsidR="00D11B90">
        <w:rPr>
          <w:rStyle w:val="FootnoteReference"/>
          <w:snapToGrid/>
          <w:kern w:val="0"/>
        </w:rPr>
        <w:footnoteReference w:id="11"/>
      </w:r>
    </w:p>
    <w:p w:rsidR="001327F7" w:rsidRPr="001327F7" w:rsidRDefault="001327F7" w:rsidP="001327F7">
      <w:pPr>
        <w:pStyle w:val="Heading1"/>
      </w:pPr>
      <w:r>
        <w:t>background</w:t>
      </w:r>
    </w:p>
    <w:p w:rsidR="00632910" w:rsidRDefault="00632910">
      <w:pPr>
        <w:pStyle w:val="ParaNum"/>
        <w:rPr>
          <w:szCs w:val="22"/>
        </w:rPr>
      </w:pPr>
      <w:r>
        <w:rPr>
          <w:bCs/>
          <w:szCs w:val="22"/>
        </w:rPr>
        <w:t>On October 8, 2010, President Obama signed the Twenty-First Century Communications and Video Accessibility Act of 2010 (CVAA) into law.</w:t>
      </w:r>
      <w:r>
        <w:rPr>
          <w:rStyle w:val="FootnoteReference"/>
          <w:bCs/>
          <w:szCs w:val="22"/>
        </w:rPr>
        <w:footnoteReference w:id="12"/>
      </w:r>
      <w:r>
        <w:rPr>
          <w:bCs/>
          <w:szCs w:val="22"/>
        </w:rPr>
        <w:t xml:space="preserve">  One year later, on October 7, 2011, the Commission adopted a Report and Order implementing section 716 of the Act,</w:t>
      </w:r>
      <w:r>
        <w:rPr>
          <w:rStyle w:val="FootnoteReference"/>
          <w:bCs/>
          <w:szCs w:val="22"/>
        </w:rPr>
        <w:footnoteReference w:id="13"/>
      </w:r>
      <w:r>
        <w:rPr>
          <w:bCs/>
          <w:szCs w:val="22"/>
        </w:rPr>
        <w:t xml:space="preserve"> which was added by the CVAA and requires ACS and equipment </w:t>
      </w:r>
      <w:r>
        <w:rPr>
          <w:szCs w:val="22"/>
        </w:rPr>
        <w:t>used for ACS</w:t>
      </w:r>
      <w:r>
        <w:rPr>
          <w:rStyle w:val="FootnoteReference"/>
          <w:bCs/>
          <w:szCs w:val="22"/>
        </w:rPr>
        <w:footnoteReference w:id="14"/>
      </w:r>
      <w:r>
        <w:rPr>
          <w:szCs w:val="22"/>
        </w:rPr>
        <w:t xml:space="preserve"> to be accessible to and usable by individuals with disabilities, if achievable, </w:t>
      </w:r>
      <w:r>
        <w:rPr>
          <w:bCs/>
          <w:szCs w:val="22"/>
        </w:rPr>
        <w:t>beginning October 8, 2013.</w:t>
      </w:r>
      <w:r>
        <w:rPr>
          <w:rStyle w:val="FootnoteReference"/>
          <w:szCs w:val="22"/>
        </w:rPr>
        <w:footnoteReference w:id="15"/>
      </w:r>
      <w:r>
        <w:rPr>
          <w:bCs/>
          <w:szCs w:val="22"/>
        </w:rPr>
        <w:t xml:space="preserve">  The Commission also adopted rules to implement section 717 of the Act,</w:t>
      </w:r>
      <w:r>
        <w:rPr>
          <w:rStyle w:val="FootnoteReference"/>
          <w:bCs/>
          <w:szCs w:val="22"/>
        </w:rPr>
        <w:footnoteReference w:id="16"/>
      </w:r>
      <w:r>
        <w:rPr>
          <w:bCs/>
          <w:szCs w:val="22"/>
        </w:rPr>
        <w:t xml:space="preserve"> which creates recordkeeping and enforcement provisions for sections 255, 716 and 718 of the Act.</w:t>
      </w:r>
      <w:r>
        <w:rPr>
          <w:rStyle w:val="FootnoteReference"/>
          <w:bCs/>
          <w:szCs w:val="22"/>
        </w:rPr>
        <w:footnoteReference w:id="17"/>
      </w:r>
      <w:r>
        <w:rPr>
          <w:bCs/>
          <w:szCs w:val="22"/>
        </w:rPr>
        <w:t xml:space="preserve">  </w:t>
      </w:r>
    </w:p>
    <w:p w:rsidR="00632910" w:rsidRDefault="00784C50">
      <w:pPr>
        <w:pStyle w:val="ParaNum"/>
        <w:rPr>
          <w:szCs w:val="22"/>
        </w:rPr>
      </w:pPr>
      <w:r>
        <w:rPr>
          <w:bCs/>
          <w:szCs w:val="22"/>
        </w:rPr>
        <w:t>S</w:t>
      </w:r>
      <w:r w:rsidR="00632910">
        <w:rPr>
          <w:bCs/>
          <w:szCs w:val="22"/>
        </w:rPr>
        <w:t>ection 716(h)(1) of the Act</w:t>
      </w:r>
      <w:r w:rsidR="00632910">
        <w:rPr>
          <w:rStyle w:val="FootnoteReference"/>
          <w:bCs/>
          <w:szCs w:val="22"/>
        </w:rPr>
        <w:footnoteReference w:id="18"/>
      </w:r>
      <w:r w:rsidR="00632910">
        <w:rPr>
          <w:bCs/>
          <w:szCs w:val="22"/>
        </w:rPr>
        <w:t xml:space="preserve"> </w:t>
      </w:r>
      <w:r>
        <w:rPr>
          <w:bCs/>
          <w:szCs w:val="22"/>
        </w:rPr>
        <w:t xml:space="preserve">and the Commission’s </w:t>
      </w:r>
      <w:r w:rsidR="00F920C5">
        <w:rPr>
          <w:bCs/>
          <w:szCs w:val="22"/>
        </w:rPr>
        <w:t xml:space="preserve">implementing </w:t>
      </w:r>
      <w:r>
        <w:rPr>
          <w:bCs/>
          <w:szCs w:val="22"/>
        </w:rPr>
        <w:t>rules</w:t>
      </w:r>
      <w:r w:rsidR="00F920C5">
        <w:rPr>
          <w:bCs/>
          <w:szCs w:val="22"/>
        </w:rPr>
        <w:t xml:space="preserve"> </w:t>
      </w:r>
      <w:r>
        <w:rPr>
          <w:bCs/>
          <w:szCs w:val="22"/>
        </w:rPr>
        <w:t xml:space="preserve"> </w:t>
      </w:r>
      <w:r w:rsidR="00632910">
        <w:rPr>
          <w:bCs/>
          <w:szCs w:val="22"/>
        </w:rPr>
        <w:t>allow the Commission to grant waivers of the ACS requirements for multipurpose equipment or services or classes of multipurpose equipment or services that have features or functions that are capable of accessing ACS</w:t>
      </w:r>
      <w:r w:rsidR="0074081F">
        <w:rPr>
          <w:bCs/>
          <w:szCs w:val="22"/>
        </w:rPr>
        <w:t>,</w:t>
      </w:r>
      <w:r w:rsidR="00632910">
        <w:rPr>
          <w:bCs/>
          <w:szCs w:val="22"/>
        </w:rPr>
        <w:t xml:space="preserve"> but are nonetheless designed primarily for purposes other than using ACS.</w:t>
      </w:r>
      <w:r w:rsidR="00632910">
        <w:rPr>
          <w:rStyle w:val="FootnoteReference"/>
          <w:bCs/>
          <w:szCs w:val="22"/>
        </w:rPr>
        <w:footnoteReference w:id="19"/>
      </w:r>
      <w:r w:rsidR="00632910">
        <w:rPr>
          <w:szCs w:val="22"/>
        </w:rPr>
        <w:t xml:space="preserve">  In instances where </w:t>
      </w:r>
      <w:r w:rsidR="00632910">
        <w:rPr>
          <w:szCs w:val="22"/>
        </w:rPr>
        <w:lastRenderedPageBreak/>
        <w:t>equipment and services may have multiple primary or co-primary purposes, waivers may not be warranted.</w:t>
      </w:r>
      <w:r w:rsidR="00632910">
        <w:rPr>
          <w:rStyle w:val="FootnoteReference"/>
          <w:szCs w:val="22"/>
        </w:rPr>
        <w:footnoteReference w:id="20"/>
      </w:r>
      <w:r w:rsidR="00632910">
        <w:rPr>
          <w:szCs w:val="22"/>
        </w:rPr>
        <w:t xml:space="preserve">  In conducting a waiver analysis, the rules</w:t>
      </w:r>
      <w:r w:rsidR="00632910">
        <w:rPr>
          <w:bCs/>
          <w:szCs w:val="22"/>
        </w:rPr>
        <w:t xml:space="preserve"> provide for a case-by-case examination of whether the equipment is marketed for its ACS features or functions.</w:t>
      </w:r>
      <w:r w:rsidR="00632910">
        <w:rPr>
          <w:rStyle w:val="FootnoteReference"/>
          <w:bCs/>
          <w:szCs w:val="22"/>
        </w:rPr>
        <w:footnoteReference w:id="21"/>
      </w:r>
      <w:r w:rsidR="00632910">
        <w:rPr>
          <w:bCs/>
          <w:szCs w:val="22"/>
        </w:rPr>
        <w:t xml:space="preserve">  In order to make this determination, the </w:t>
      </w:r>
      <w:r w:rsidR="00632910">
        <w:rPr>
          <w:bCs/>
          <w:i/>
          <w:szCs w:val="22"/>
        </w:rPr>
        <w:t>ACS Report and Order</w:t>
      </w:r>
      <w:r w:rsidR="00632910">
        <w:rPr>
          <w:bCs/>
          <w:szCs w:val="22"/>
        </w:rPr>
        <w:t xml:space="preserve"> directs the Commission to consider “whether the ACS functionality or feature is suggested to consumers as a reason for purchasing, installing, downloading, or accessing the equipment or service.”</w:t>
      </w:r>
      <w:r w:rsidR="00632910">
        <w:rPr>
          <w:rStyle w:val="FootnoteReference"/>
          <w:bCs/>
          <w:szCs w:val="22"/>
        </w:rPr>
        <w:footnoteReference w:id="22"/>
      </w:r>
      <w:r w:rsidR="00632910">
        <w:rPr>
          <w:bCs/>
          <w:szCs w:val="22"/>
        </w:rPr>
        <w:t xml:space="preserve">  The Commission </w:t>
      </w:r>
      <w:r w:rsidR="00632910">
        <w:rPr>
          <w:szCs w:val="22"/>
        </w:rPr>
        <w:t>may also consider the manufacturer’s market research and the usage trends of similar equipment or services in order to determine whether a manufacturer or provider designed the equipment or service primarily for purposes other than ACS.</w:t>
      </w:r>
      <w:r w:rsidR="00632910">
        <w:rPr>
          <w:rStyle w:val="FootnoteReference"/>
          <w:szCs w:val="22"/>
        </w:rPr>
        <w:footnoteReference w:id="23"/>
      </w:r>
      <w:r w:rsidR="00632910">
        <w:rPr>
          <w:szCs w:val="22"/>
        </w:rPr>
        <w:t xml:space="preserve">  The </w:t>
      </w:r>
      <w:r w:rsidR="00632910">
        <w:rPr>
          <w:i/>
          <w:szCs w:val="22"/>
        </w:rPr>
        <w:t>ACS Report and Order</w:t>
      </w:r>
      <w:r w:rsidR="00632910">
        <w:rPr>
          <w:szCs w:val="22"/>
        </w:rPr>
        <w:t xml:space="preserve"> further notes that the following factors may be relevant to a primary purpose waiver determination:  whether the ACS functionality is designed to be operable outside of other functions or aids other functions</w:t>
      </w:r>
      <w:r w:rsidR="0069615F">
        <w:rPr>
          <w:szCs w:val="22"/>
        </w:rPr>
        <w:t>,</w:t>
      </w:r>
      <w:r w:rsidR="00632910">
        <w:rPr>
          <w:szCs w:val="22"/>
        </w:rPr>
        <w:t xml:space="preserve"> the impact that the removal of the ACS feature has on the primary purpose for which the equipment or services is claimed to be designed, and an examination of waivers for similar products or services.</w:t>
      </w:r>
      <w:r w:rsidR="00632910">
        <w:rPr>
          <w:rStyle w:val="FootnoteReference"/>
          <w:szCs w:val="22"/>
        </w:rPr>
        <w:footnoteReference w:id="24"/>
      </w:r>
      <w:r w:rsidR="00632910">
        <w:rPr>
          <w:szCs w:val="22"/>
        </w:rPr>
        <w:t xml:space="preserve">  In addition to considering these various factors, t</w:t>
      </w:r>
      <w:r w:rsidR="00632910">
        <w:rPr>
          <w:bCs/>
          <w:szCs w:val="22"/>
        </w:rPr>
        <w:t xml:space="preserve">he </w:t>
      </w:r>
      <w:r w:rsidR="00632910">
        <w:rPr>
          <w:bCs/>
          <w:i/>
          <w:szCs w:val="22"/>
        </w:rPr>
        <w:t>ACS Report and Order</w:t>
      </w:r>
      <w:r w:rsidR="00632910">
        <w:rPr>
          <w:bCs/>
          <w:szCs w:val="22"/>
        </w:rPr>
        <w:t xml:space="preserve"> calls for the Commission, when examining a waiver request, to utilize its general waiver standard, which requires good cause to waive the rules, and a showing that the particular facts the petitioner </w:t>
      </w:r>
      <w:r>
        <w:rPr>
          <w:bCs/>
          <w:szCs w:val="22"/>
        </w:rPr>
        <w:t xml:space="preserve">presents </w:t>
      </w:r>
      <w:r w:rsidR="00632910">
        <w:rPr>
          <w:bCs/>
          <w:szCs w:val="22"/>
        </w:rPr>
        <w:t>make compliance with the relevant requirements inconsistent with the public interest.</w:t>
      </w:r>
      <w:r w:rsidR="00632910">
        <w:rPr>
          <w:rStyle w:val="FootnoteReference"/>
          <w:bCs/>
          <w:szCs w:val="22"/>
        </w:rPr>
        <w:footnoteReference w:id="25"/>
      </w:r>
      <w:r w:rsidR="00632910">
        <w:rPr>
          <w:bCs/>
          <w:szCs w:val="22"/>
        </w:rPr>
        <w:t xml:space="preserve">  </w:t>
      </w:r>
    </w:p>
    <w:p w:rsidR="00CC3F03" w:rsidRPr="0069615F" w:rsidRDefault="00632910" w:rsidP="00476DEC">
      <w:pPr>
        <w:pStyle w:val="ParaNum"/>
        <w:rPr>
          <w:szCs w:val="22"/>
        </w:rPr>
      </w:pPr>
      <w:r w:rsidRPr="0069615F">
        <w:rPr>
          <w:szCs w:val="22"/>
        </w:rPr>
        <w:t>The ACS rules allow the Commission to entertain a waiver for equipment and services individually or as a class, and to limit the time of its coverage, with or without a provision for renewal.</w:t>
      </w:r>
      <w:r>
        <w:rPr>
          <w:rStyle w:val="FootnoteReference"/>
          <w:bCs/>
          <w:szCs w:val="22"/>
        </w:rPr>
        <w:footnoteReference w:id="26"/>
      </w:r>
      <w:r w:rsidRPr="0069615F">
        <w:rPr>
          <w:szCs w:val="22"/>
        </w:rPr>
        <w:t xml:space="preserve">  The Commission will exercise its authority to grant class waivers, which apply to more than one piece of equipment or more than one service, in instances in which classes are carefully defined and the equipment or services share common defining characteristics.</w:t>
      </w:r>
      <w:r>
        <w:rPr>
          <w:rStyle w:val="FootnoteReference"/>
          <w:bCs/>
          <w:szCs w:val="22"/>
        </w:rPr>
        <w:footnoteReference w:id="27"/>
      </w:r>
      <w:r w:rsidRPr="0069615F">
        <w:rPr>
          <w:szCs w:val="22"/>
        </w:rPr>
        <w:t xml:space="preserve">  In addition, the Commission will examine the extent to which the petitioner has explained in detail the expected lifecycle of the equipment or services that are part of the class.</w:t>
      </w:r>
      <w:r>
        <w:rPr>
          <w:rStyle w:val="FootnoteReference"/>
          <w:bCs/>
          <w:szCs w:val="22"/>
        </w:rPr>
        <w:footnoteReference w:id="28"/>
      </w:r>
      <w:r w:rsidRPr="0069615F">
        <w:rPr>
          <w:szCs w:val="22"/>
        </w:rPr>
        <w:t xml:space="preserve">  Substantial upgrades are considered new products or services for the purpose of this waiver analysis.</w:t>
      </w:r>
      <w:r>
        <w:rPr>
          <w:rStyle w:val="FootnoteReference"/>
          <w:bCs/>
          <w:szCs w:val="22"/>
        </w:rPr>
        <w:footnoteReference w:id="29"/>
      </w:r>
      <w:r w:rsidRPr="0069615F">
        <w:rPr>
          <w:szCs w:val="22"/>
        </w:rPr>
        <w:t xml:space="preserve">  To the extent a petitioner seeks a class waiver for multiple generations of similar equipment and services, the Commission will examine the justification for the waiver extending through the lifecycle of each discrete generation</w:t>
      </w:r>
      <w:r w:rsidRPr="0069615F">
        <w:rPr>
          <w:color w:val="000000"/>
          <w:szCs w:val="22"/>
        </w:rPr>
        <w:t>.</w:t>
      </w:r>
      <w:r>
        <w:rPr>
          <w:rStyle w:val="FootnoteReference"/>
          <w:bCs/>
          <w:color w:val="000000"/>
          <w:szCs w:val="22"/>
        </w:rPr>
        <w:footnoteReference w:id="30"/>
      </w:r>
      <w:r w:rsidRPr="0069615F">
        <w:rPr>
          <w:color w:val="000000"/>
          <w:szCs w:val="22"/>
        </w:rPr>
        <w:t xml:space="preserve">  </w:t>
      </w:r>
      <w:r w:rsidRPr="0069615F">
        <w:rPr>
          <w:szCs w:val="22"/>
        </w:rPr>
        <w:t>All products and services covered by a class waiver that are introduced into the market while the waiver is in effect will ordinarily be subject to the waiver for the duration of the life of those particular products or services—</w:t>
      </w:r>
      <w:r w:rsidRPr="0069615F">
        <w:rPr>
          <w:i/>
          <w:szCs w:val="22"/>
        </w:rPr>
        <w:t>i.e.</w:t>
      </w:r>
      <w:r w:rsidRPr="0069615F">
        <w:rPr>
          <w:szCs w:val="22"/>
        </w:rPr>
        <w:t>, for as long as those particular products or services are sold.</w:t>
      </w:r>
      <w:r>
        <w:rPr>
          <w:rStyle w:val="FootnoteReference"/>
          <w:bCs/>
          <w:szCs w:val="22"/>
        </w:rPr>
        <w:footnoteReference w:id="31"/>
      </w:r>
      <w:r w:rsidRPr="0069615F">
        <w:rPr>
          <w:szCs w:val="22"/>
        </w:rPr>
        <w:t xml:space="preserve">  </w:t>
      </w:r>
    </w:p>
    <w:p w:rsidR="00632910" w:rsidRDefault="00632910">
      <w:pPr>
        <w:pStyle w:val="Heading1"/>
        <w:rPr>
          <w:rFonts w:ascii="Times New Roman" w:hAnsi="Times New Roman"/>
          <w:szCs w:val="22"/>
        </w:rPr>
      </w:pPr>
      <w:r>
        <w:rPr>
          <w:rFonts w:ascii="Times New Roman" w:hAnsi="Times New Roman"/>
          <w:szCs w:val="22"/>
        </w:rPr>
        <w:t>THE C</w:t>
      </w:r>
      <w:r w:rsidR="00C16195">
        <w:rPr>
          <w:rFonts w:ascii="Times New Roman" w:hAnsi="Times New Roman"/>
          <w:szCs w:val="22"/>
        </w:rPr>
        <w:t>OALITION</w:t>
      </w:r>
      <w:r>
        <w:rPr>
          <w:rFonts w:ascii="Times New Roman" w:hAnsi="Times New Roman"/>
          <w:szCs w:val="22"/>
        </w:rPr>
        <w:t xml:space="preserve"> PETITION</w:t>
      </w:r>
    </w:p>
    <w:p w:rsidR="00B650C3" w:rsidRPr="00B650C3" w:rsidRDefault="00896594" w:rsidP="00B650C3">
      <w:pPr>
        <w:pStyle w:val="ParaNum"/>
        <w:rPr>
          <w:szCs w:val="22"/>
        </w:rPr>
      </w:pPr>
      <w:r>
        <w:rPr>
          <w:szCs w:val="22"/>
        </w:rPr>
        <w:t>T</w:t>
      </w:r>
      <w:r w:rsidR="00C16195" w:rsidRPr="00B650C3">
        <w:rPr>
          <w:szCs w:val="22"/>
        </w:rPr>
        <w:t>he</w:t>
      </w:r>
      <w:r w:rsidR="00B650C3">
        <w:rPr>
          <w:szCs w:val="22"/>
        </w:rPr>
        <w:t xml:space="preserve"> </w:t>
      </w:r>
      <w:r w:rsidR="000C1828">
        <w:rPr>
          <w:szCs w:val="22"/>
        </w:rPr>
        <w:t xml:space="preserve">Coalition’s </w:t>
      </w:r>
      <w:r w:rsidR="00B650C3">
        <w:rPr>
          <w:szCs w:val="22"/>
        </w:rPr>
        <w:t xml:space="preserve">Petition </w:t>
      </w:r>
      <w:r>
        <w:rPr>
          <w:szCs w:val="22"/>
        </w:rPr>
        <w:t xml:space="preserve">acknowledges </w:t>
      </w:r>
      <w:r w:rsidR="00B650C3">
        <w:rPr>
          <w:szCs w:val="22"/>
        </w:rPr>
        <w:t xml:space="preserve">that although </w:t>
      </w:r>
      <w:r w:rsidR="00D50B19">
        <w:rPr>
          <w:szCs w:val="22"/>
        </w:rPr>
        <w:t xml:space="preserve">the class of </w:t>
      </w:r>
      <w:r w:rsidR="00B650C3">
        <w:rPr>
          <w:szCs w:val="22"/>
        </w:rPr>
        <w:t xml:space="preserve">e-reader equipment </w:t>
      </w:r>
      <w:r w:rsidR="00D50B19">
        <w:rPr>
          <w:szCs w:val="22"/>
        </w:rPr>
        <w:t xml:space="preserve">for which it seeks a waiver </w:t>
      </w:r>
      <w:r w:rsidR="00B650C3">
        <w:rPr>
          <w:szCs w:val="22"/>
        </w:rPr>
        <w:t>can allow consumers to access and use ACS,</w:t>
      </w:r>
      <w:r>
        <w:rPr>
          <w:rStyle w:val="FootnoteReference"/>
          <w:szCs w:val="22"/>
        </w:rPr>
        <w:footnoteReference w:id="32"/>
      </w:r>
      <w:r w:rsidR="00B650C3">
        <w:rPr>
          <w:szCs w:val="22"/>
        </w:rPr>
        <w:t xml:space="preserve"> it is designed, built and marketed primarily to read written material</w:t>
      </w:r>
      <w:r>
        <w:rPr>
          <w:szCs w:val="22"/>
        </w:rPr>
        <w:t>,</w:t>
      </w:r>
      <w:r w:rsidR="00B650C3">
        <w:rPr>
          <w:szCs w:val="22"/>
        </w:rPr>
        <w:t xml:space="preserve"> such as books</w:t>
      </w:r>
      <w:r w:rsidR="003045BD">
        <w:rPr>
          <w:szCs w:val="22"/>
        </w:rPr>
        <w:t>,</w:t>
      </w:r>
      <w:r w:rsidR="00B650C3">
        <w:rPr>
          <w:szCs w:val="22"/>
        </w:rPr>
        <w:t xml:space="preserve"> magazines, newspapers, and other text documents on a mobile electronic device,</w:t>
      </w:r>
      <w:r w:rsidR="00B650C3" w:rsidRPr="00B650C3">
        <w:rPr>
          <w:szCs w:val="22"/>
        </w:rPr>
        <w:t xml:space="preserve"> </w:t>
      </w:r>
      <w:r w:rsidR="00B650C3">
        <w:rPr>
          <w:szCs w:val="22"/>
        </w:rPr>
        <w:t>rather than to provide access to ACS.</w:t>
      </w:r>
      <w:r w:rsidR="00B650C3">
        <w:rPr>
          <w:rStyle w:val="FootnoteReference"/>
          <w:szCs w:val="22"/>
        </w:rPr>
        <w:footnoteReference w:id="33"/>
      </w:r>
      <w:r w:rsidR="00C46527">
        <w:rPr>
          <w:szCs w:val="22"/>
        </w:rPr>
        <w:t xml:space="preserve">  The </w:t>
      </w:r>
      <w:r>
        <w:rPr>
          <w:szCs w:val="22"/>
        </w:rPr>
        <w:t>C</w:t>
      </w:r>
      <w:r w:rsidR="00C46527">
        <w:rPr>
          <w:szCs w:val="22"/>
        </w:rPr>
        <w:t xml:space="preserve">oalition adds that e-readers do not contain apps for ACS, including e-mail, instant messaging, or other electronic messaging services, VoIP, or interoperable video conferencing services, and </w:t>
      </w:r>
      <w:r w:rsidR="002173A8">
        <w:rPr>
          <w:szCs w:val="22"/>
        </w:rPr>
        <w:t xml:space="preserve">that </w:t>
      </w:r>
      <w:r w:rsidR="00C46527">
        <w:rPr>
          <w:szCs w:val="22"/>
        </w:rPr>
        <w:t>the browsers on e-readers are stripped down and not fully featured.</w:t>
      </w:r>
      <w:r w:rsidR="00C46527">
        <w:rPr>
          <w:rStyle w:val="FootnoteReference"/>
          <w:szCs w:val="22"/>
        </w:rPr>
        <w:footnoteReference w:id="34"/>
      </w:r>
      <w:r w:rsidR="00B650C3">
        <w:rPr>
          <w:szCs w:val="22"/>
        </w:rPr>
        <w:t xml:space="preserve">  The Coalition argues, therefor</w:t>
      </w:r>
      <w:r w:rsidR="006A5365">
        <w:rPr>
          <w:szCs w:val="22"/>
        </w:rPr>
        <w:t>e, that</w:t>
      </w:r>
      <w:r w:rsidR="00C46527">
        <w:rPr>
          <w:szCs w:val="22"/>
        </w:rPr>
        <w:t xml:space="preserve"> e-readers are designed and built around reading as the primary function,</w:t>
      </w:r>
      <w:r w:rsidR="00C46527">
        <w:rPr>
          <w:rStyle w:val="FootnoteReference"/>
          <w:szCs w:val="22"/>
        </w:rPr>
        <w:footnoteReference w:id="35"/>
      </w:r>
      <w:r w:rsidR="00C46527">
        <w:rPr>
          <w:szCs w:val="22"/>
        </w:rPr>
        <w:t xml:space="preserve"> that these devices are not designed with ACS as an intended feature, not even on a secondary basis,</w:t>
      </w:r>
      <w:r w:rsidR="00C46527">
        <w:rPr>
          <w:rStyle w:val="FootnoteReference"/>
          <w:szCs w:val="22"/>
        </w:rPr>
        <w:footnoteReference w:id="36"/>
      </w:r>
      <w:r w:rsidR="00C46527">
        <w:rPr>
          <w:szCs w:val="22"/>
        </w:rPr>
        <w:t xml:space="preserve"> and that</w:t>
      </w:r>
      <w:r w:rsidR="006A5365">
        <w:rPr>
          <w:szCs w:val="22"/>
        </w:rPr>
        <w:t xml:space="preserve"> this class of equipment</w:t>
      </w:r>
      <w:r w:rsidR="00B650C3">
        <w:rPr>
          <w:szCs w:val="22"/>
        </w:rPr>
        <w:t xml:space="preserve"> qualifies for a waiver from the Commission’s ACS rules.</w:t>
      </w:r>
      <w:r w:rsidR="00B650C3">
        <w:rPr>
          <w:rStyle w:val="FootnoteReference"/>
          <w:szCs w:val="22"/>
        </w:rPr>
        <w:footnoteReference w:id="37"/>
      </w:r>
      <w:r w:rsidR="00B650C3">
        <w:rPr>
          <w:szCs w:val="22"/>
        </w:rPr>
        <w:t xml:space="preserve">  </w:t>
      </w:r>
    </w:p>
    <w:p w:rsidR="00F920C5" w:rsidRPr="002236A4" w:rsidRDefault="00632910" w:rsidP="002236A4">
      <w:pPr>
        <w:pStyle w:val="Heading1"/>
        <w:tabs>
          <w:tab w:val="left" w:pos="720"/>
        </w:tabs>
        <w:rPr>
          <w:szCs w:val="22"/>
        </w:rPr>
      </w:pPr>
      <w:r w:rsidRPr="002236A4">
        <w:rPr>
          <w:rFonts w:ascii="Times New Roman" w:hAnsi="Times New Roman"/>
          <w:szCs w:val="22"/>
        </w:rPr>
        <w:t xml:space="preserve">Discussion  </w:t>
      </w:r>
    </w:p>
    <w:p w:rsidR="00343B2D" w:rsidRPr="003439BF" w:rsidRDefault="00EE4BCF" w:rsidP="003439BF">
      <w:pPr>
        <w:pStyle w:val="ParaNum"/>
        <w:rPr>
          <w:szCs w:val="22"/>
        </w:rPr>
      </w:pPr>
      <w:r>
        <w:rPr>
          <w:szCs w:val="22"/>
        </w:rPr>
        <w:t xml:space="preserve">The </w:t>
      </w:r>
      <w:r w:rsidR="00AF047F">
        <w:rPr>
          <w:szCs w:val="22"/>
        </w:rPr>
        <w:t>Petition</w:t>
      </w:r>
      <w:r w:rsidR="0015466A">
        <w:rPr>
          <w:szCs w:val="22"/>
        </w:rPr>
        <w:t xml:space="preserve"> </w:t>
      </w:r>
      <w:r w:rsidR="00896594">
        <w:rPr>
          <w:szCs w:val="22"/>
        </w:rPr>
        <w:t xml:space="preserve">and Coalition Petition Supplement </w:t>
      </w:r>
      <w:r w:rsidR="004F1F0B">
        <w:rPr>
          <w:szCs w:val="22"/>
        </w:rPr>
        <w:t xml:space="preserve">allege </w:t>
      </w:r>
      <w:r w:rsidR="00EE1F2C">
        <w:rPr>
          <w:szCs w:val="22"/>
        </w:rPr>
        <w:t xml:space="preserve">a number of </w:t>
      </w:r>
      <w:r w:rsidR="0015466A">
        <w:rPr>
          <w:szCs w:val="22"/>
        </w:rPr>
        <w:t xml:space="preserve">elements necessary </w:t>
      </w:r>
      <w:r w:rsidR="00777502">
        <w:rPr>
          <w:szCs w:val="22"/>
        </w:rPr>
        <w:t xml:space="preserve">for the Bureau </w:t>
      </w:r>
      <w:r w:rsidR="004F1F0B">
        <w:rPr>
          <w:szCs w:val="22"/>
        </w:rPr>
        <w:t xml:space="preserve">to consider whether to grant </w:t>
      </w:r>
      <w:r w:rsidR="0015466A">
        <w:rPr>
          <w:szCs w:val="22"/>
        </w:rPr>
        <w:t>a</w:t>
      </w:r>
      <w:r w:rsidR="00917805">
        <w:rPr>
          <w:szCs w:val="22"/>
        </w:rPr>
        <w:t xml:space="preserve"> class</w:t>
      </w:r>
      <w:r w:rsidR="0015466A">
        <w:rPr>
          <w:szCs w:val="22"/>
        </w:rPr>
        <w:t xml:space="preserve"> waiver of the Commission’s ACS rules</w:t>
      </w:r>
      <w:r w:rsidR="00EE1F2C" w:rsidRPr="0015466A">
        <w:rPr>
          <w:szCs w:val="22"/>
        </w:rPr>
        <w:t xml:space="preserve"> under section 716(h)(1)(A) and (B) of the Act</w:t>
      </w:r>
      <w:r w:rsidR="00EE1F2C">
        <w:rPr>
          <w:rStyle w:val="FootnoteReference"/>
          <w:szCs w:val="22"/>
        </w:rPr>
        <w:footnoteReference w:id="38"/>
      </w:r>
      <w:r w:rsidR="00EE1F2C" w:rsidRPr="0015466A">
        <w:rPr>
          <w:szCs w:val="22"/>
        </w:rPr>
        <w:t xml:space="preserve"> and section 14.5(a) of </w:t>
      </w:r>
      <w:r w:rsidR="00CC3F03">
        <w:rPr>
          <w:szCs w:val="22"/>
        </w:rPr>
        <w:t>our</w:t>
      </w:r>
      <w:r w:rsidR="00CC3F03" w:rsidRPr="0015466A">
        <w:rPr>
          <w:szCs w:val="22"/>
        </w:rPr>
        <w:t xml:space="preserve"> </w:t>
      </w:r>
      <w:r w:rsidR="00EE1F2C" w:rsidRPr="0015466A">
        <w:rPr>
          <w:szCs w:val="22"/>
        </w:rPr>
        <w:t>rules</w:t>
      </w:r>
      <w:r w:rsidR="00EE1F2C">
        <w:rPr>
          <w:szCs w:val="22"/>
        </w:rPr>
        <w:t>.</w:t>
      </w:r>
      <w:r w:rsidR="00EE1F2C">
        <w:rPr>
          <w:rStyle w:val="FootnoteReference"/>
          <w:szCs w:val="22"/>
        </w:rPr>
        <w:footnoteReference w:id="39"/>
      </w:r>
      <w:r w:rsidR="0015466A">
        <w:rPr>
          <w:szCs w:val="22"/>
        </w:rPr>
        <w:t xml:space="preserve">  First,</w:t>
      </w:r>
      <w:r w:rsidR="000C1828">
        <w:rPr>
          <w:szCs w:val="22"/>
        </w:rPr>
        <w:t xml:space="preserve"> </w:t>
      </w:r>
      <w:r w:rsidR="0015466A">
        <w:rPr>
          <w:szCs w:val="22"/>
        </w:rPr>
        <w:t>t</w:t>
      </w:r>
      <w:r w:rsidRPr="0015466A">
        <w:rPr>
          <w:bCs/>
          <w:szCs w:val="22"/>
        </w:rPr>
        <w:t>he</w:t>
      </w:r>
      <w:r w:rsidR="004F1F0B">
        <w:rPr>
          <w:bCs/>
          <w:szCs w:val="22"/>
        </w:rPr>
        <w:t xml:space="preserve"> Coalition proposes to define </w:t>
      </w:r>
      <w:r w:rsidR="000C1828">
        <w:rPr>
          <w:bCs/>
          <w:szCs w:val="22"/>
        </w:rPr>
        <w:t xml:space="preserve">narrowly </w:t>
      </w:r>
      <w:r w:rsidR="004F1F0B">
        <w:rPr>
          <w:bCs/>
          <w:szCs w:val="22"/>
        </w:rPr>
        <w:t>the</w:t>
      </w:r>
      <w:r w:rsidRPr="0015466A">
        <w:rPr>
          <w:bCs/>
          <w:szCs w:val="22"/>
        </w:rPr>
        <w:t xml:space="preserve"> class of equipment for which </w:t>
      </w:r>
      <w:r w:rsidR="00632910" w:rsidRPr="0015466A">
        <w:rPr>
          <w:bCs/>
          <w:szCs w:val="22"/>
        </w:rPr>
        <w:t>waiver</w:t>
      </w:r>
      <w:r w:rsidRPr="0015466A">
        <w:rPr>
          <w:bCs/>
          <w:szCs w:val="22"/>
        </w:rPr>
        <w:t xml:space="preserve"> is sought</w:t>
      </w:r>
      <w:r w:rsidR="00917805">
        <w:rPr>
          <w:bCs/>
          <w:szCs w:val="22"/>
        </w:rPr>
        <w:t>,</w:t>
      </w:r>
      <w:r w:rsidR="00632910" w:rsidRPr="0015466A">
        <w:rPr>
          <w:bCs/>
          <w:szCs w:val="22"/>
        </w:rPr>
        <w:t xml:space="preserve"> and</w:t>
      </w:r>
      <w:r w:rsidR="004F1F0B">
        <w:rPr>
          <w:bCs/>
          <w:szCs w:val="22"/>
        </w:rPr>
        <w:t xml:space="preserve"> alleges that</w:t>
      </w:r>
      <w:r w:rsidR="00632910" w:rsidRPr="0015466A">
        <w:rPr>
          <w:bCs/>
          <w:szCs w:val="22"/>
        </w:rPr>
        <w:t xml:space="preserve"> the equipment in </w:t>
      </w:r>
      <w:r w:rsidRPr="0015466A">
        <w:rPr>
          <w:bCs/>
          <w:szCs w:val="22"/>
        </w:rPr>
        <w:t>the</w:t>
      </w:r>
      <w:r w:rsidR="00632910" w:rsidRPr="0015466A">
        <w:rPr>
          <w:bCs/>
          <w:szCs w:val="22"/>
        </w:rPr>
        <w:t xml:space="preserve"> class share enough common defining characteristics to </w:t>
      </w:r>
      <w:r w:rsidR="0015466A">
        <w:rPr>
          <w:bCs/>
          <w:szCs w:val="22"/>
        </w:rPr>
        <w:t>grant a class waiver</w:t>
      </w:r>
      <w:r w:rsidR="00632910" w:rsidRPr="0015466A">
        <w:rPr>
          <w:bCs/>
          <w:szCs w:val="22"/>
        </w:rPr>
        <w:t>.</w:t>
      </w:r>
      <w:r w:rsidR="00632910">
        <w:rPr>
          <w:rStyle w:val="FootnoteReference"/>
          <w:bCs/>
          <w:szCs w:val="22"/>
        </w:rPr>
        <w:footnoteReference w:id="40"/>
      </w:r>
      <w:r w:rsidR="00EE1F2C">
        <w:rPr>
          <w:bCs/>
          <w:szCs w:val="22"/>
        </w:rPr>
        <w:t xml:space="preserve">  T</w:t>
      </w:r>
      <w:r w:rsidR="00343B2D" w:rsidRPr="0015466A">
        <w:rPr>
          <w:bCs/>
          <w:szCs w:val="22"/>
        </w:rPr>
        <w:t>he Coalition also allege</w:t>
      </w:r>
      <w:r w:rsidR="000C1828">
        <w:rPr>
          <w:bCs/>
          <w:szCs w:val="22"/>
        </w:rPr>
        <w:t>s</w:t>
      </w:r>
      <w:r w:rsidR="00343B2D" w:rsidRPr="0015466A">
        <w:rPr>
          <w:bCs/>
          <w:szCs w:val="22"/>
        </w:rPr>
        <w:t xml:space="preserve"> that</w:t>
      </w:r>
      <w:r w:rsidR="00632910" w:rsidRPr="0015466A">
        <w:rPr>
          <w:szCs w:val="22"/>
        </w:rPr>
        <w:t xml:space="preserve">, although </w:t>
      </w:r>
      <w:r w:rsidR="00917805">
        <w:rPr>
          <w:szCs w:val="22"/>
        </w:rPr>
        <w:t xml:space="preserve">e-readers are capable of accessing </w:t>
      </w:r>
      <w:r w:rsidR="00632910" w:rsidRPr="0015466A">
        <w:rPr>
          <w:szCs w:val="22"/>
        </w:rPr>
        <w:t xml:space="preserve">ACS, </w:t>
      </w:r>
      <w:r w:rsidR="00917805">
        <w:rPr>
          <w:szCs w:val="22"/>
        </w:rPr>
        <w:t>they</w:t>
      </w:r>
      <w:r w:rsidR="00632910" w:rsidRPr="0015466A">
        <w:rPr>
          <w:szCs w:val="22"/>
        </w:rPr>
        <w:t xml:space="preserve"> are designed </w:t>
      </w:r>
      <w:r w:rsidR="00343B2D" w:rsidRPr="0015466A">
        <w:rPr>
          <w:szCs w:val="22"/>
        </w:rPr>
        <w:t xml:space="preserve">and marketed </w:t>
      </w:r>
      <w:r w:rsidR="00632910" w:rsidRPr="0015466A">
        <w:rPr>
          <w:szCs w:val="22"/>
        </w:rPr>
        <w:t>primarily</w:t>
      </w:r>
      <w:r w:rsidR="00917805">
        <w:rPr>
          <w:szCs w:val="22"/>
        </w:rPr>
        <w:t xml:space="preserve"> for the purpose of reading written material,</w:t>
      </w:r>
      <w:r w:rsidR="00343B2D" w:rsidRPr="0015466A">
        <w:rPr>
          <w:szCs w:val="22"/>
        </w:rPr>
        <w:t xml:space="preserve"> and </w:t>
      </w:r>
      <w:r w:rsidR="00632910" w:rsidRPr="0015466A">
        <w:rPr>
          <w:szCs w:val="22"/>
        </w:rPr>
        <w:t xml:space="preserve">ACS </w:t>
      </w:r>
      <w:r w:rsidR="00343B2D" w:rsidRPr="0015466A">
        <w:rPr>
          <w:szCs w:val="22"/>
        </w:rPr>
        <w:t>is neither</w:t>
      </w:r>
      <w:r w:rsidR="00632910" w:rsidRPr="0015466A">
        <w:rPr>
          <w:szCs w:val="22"/>
        </w:rPr>
        <w:t xml:space="preserve"> a primary or co-primary </w:t>
      </w:r>
      <w:r w:rsidR="00343B2D" w:rsidRPr="0015466A">
        <w:rPr>
          <w:szCs w:val="22"/>
        </w:rPr>
        <w:t>purpose of the equipment.</w:t>
      </w:r>
      <w:r w:rsidR="006A5365">
        <w:rPr>
          <w:rStyle w:val="FootnoteReference"/>
          <w:szCs w:val="22"/>
        </w:rPr>
        <w:footnoteReference w:id="41"/>
      </w:r>
      <w:r w:rsidR="00343B2D" w:rsidRPr="0015466A">
        <w:rPr>
          <w:szCs w:val="22"/>
        </w:rPr>
        <w:t xml:space="preserve">  </w:t>
      </w:r>
      <w:r w:rsidR="00632910" w:rsidRPr="0015466A">
        <w:rPr>
          <w:szCs w:val="22"/>
        </w:rPr>
        <w:t>Finally,</w:t>
      </w:r>
      <w:r w:rsidR="003439BF">
        <w:rPr>
          <w:bCs/>
          <w:szCs w:val="22"/>
        </w:rPr>
        <w:t xml:space="preserve"> </w:t>
      </w:r>
      <w:r w:rsidR="00343B2D" w:rsidRPr="003439BF">
        <w:rPr>
          <w:szCs w:val="22"/>
        </w:rPr>
        <w:t>the</w:t>
      </w:r>
      <w:r w:rsidR="00632910" w:rsidRPr="003439BF">
        <w:rPr>
          <w:bCs/>
          <w:szCs w:val="22"/>
        </w:rPr>
        <w:t xml:space="preserve"> </w:t>
      </w:r>
      <w:r w:rsidR="00632910" w:rsidRPr="003439BF">
        <w:rPr>
          <w:szCs w:val="22"/>
        </w:rPr>
        <w:t>C</w:t>
      </w:r>
      <w:r w:rsidR="00343B2D" w:rsidRPr="003439BF">
        <w:rPr>
          <w:szCs w:val="22"/>
        </w:rPr>
        <w:t xml:space="preserve">oalition </w:t>
      </w:r>
      <w:r w:rsidR="000C1828">
        <w:rPr>
          <w:szCs w:val="22"/>
        </w:rPr>
        <w:t>insists</w:t>
      </w:r>
      <w:r w:rsidR="00343B2D" w:rsidRPr="003439BF">
        <w:rPr>
          <w:szCs w:val="22"/>
        </w:rPr>
        <w:t xml:space="preserve"> that there is </w:t>
      </w:r>
      <w:r w:rsidR="00632910" w:rsidRPr="003439BF">
        <w:rPr>
          <w:szCs w:val="22"/>
        </w:rPr>
        <w:t>good cause to waive the rules</w:t>
      </w:r>
      <w:r w:rsidR="00EE1F2C">
        <w:rPr>
          <w:szCs w:val="22"/>
        </w:rPr>
        <w:t xml:space="preserve"> because </w:t>
      </w:r>
      <w:r w:rsidR="00632910" w:rsidRPr="003439BF">
        <w:rPr>
          <w:szCs w:val="22"/>
        </w:rPr>
        <w:t xml:space="preserve">the public interest will be served by </w:t>
      </w:r>
      <w:r w:rsidR="00343B2D" w:rsidRPr="003439BF">
        <w:rPr>
          <w:szCs w:val="22"/>
        </w:rPr>
        <w:t>permitting thi</w:t>
      </w:r>
      <w:r w:rsidR="003A34D0" w:rsidRPr="003439BF">
        <w:rPr>
          <w:szCs w:val="22"/>
        </w:rPr>
        <w:t>s niche product to survive</w:t>
      </w:r>
      <w:r w:rsidR="006A5365">
        <w:rPr>
          <w:szCs w:val="22"/>
        </w:rPr>
        <w:t>.</w:t>
      </w:r>
      <w:r w:rsidR="000C1828">
        <w:rPr>
          <w:rStyle w:val="FootnoteReference"/>
          <w:bCs/>
          <w:szCs w:val="22"/>
        </w:rPr>
        <w:footnoteReference w:id="42"/>
      </w:r>
      <w:r w:rsidR="006A5365">
        <w:rPr>
          <w:szCs w:val="22"/>
        </w:rPr>
        <w:t xml:space="preserve">  The Coalition maintains that compliance with the ACS rules will rend</w:t>
      </w:r>
      <w:r w:rsidR="000C1828">
        <w:rPr>
          <w:szCs w:val="22"/>
        </w:rPr>
        <w:t>er</w:t>
      </w:r>
      <w:r w:rsidR="006A5365">
        <w:rPr>
          <w:szCs w:val="22"/>
        </w:rPr>
        <w:t xml:space="preserve"> e-readers more expensive, less mobile, and undistinguishable from other electronic devices</w:t>
      </w:r>
      <w:r w:rsidR="000C1828">
        <w:rPr>
          <w:szCs w:val="22"/>
        </w:rPr>
        <w:t xml:space="preserve">, thereby </w:t>
      </w:r>
      <w:r w:rsidR="00443B33">
        <w:rPr>
          <w:szCs w:val="22"/>
        </w:rPr>
        <w:t>fundamentally changing and effectively eliminating a niche product.</w:t>
      </w:r>
      <w:r w:rsidR="00443B33">
        <w:rPr>
          <w:rStyle w:val="FootnoteReference"/>
          <w:szCs w:val="22"/>
        </w:rPr>
        <w:footnoteReference w:id="43"/>
      </w:r>
      <w:r w:rsidR="00443B33">
        <w:rPr>
          <w:szCs w:val="22"/>
        </w:rPr>
        <w:t xml:space="preserve">  </w:t>
      </w:r>
      <w:r w:rsidR="006A5365">
        <w:rPr>
          <w:szCs w:val="22"/>
        </w:rPr>
        <w:t xml:space="preserve">Further, it argues </w:t>
      </w:r>
      <w:r w:rsidR="003A34D0" w:rsidRPr="003439BF">
        <w:rPr>
          <w:szCs w:val="22"/>
        </w:rPr>
        <w:t>that individuals with disabilities will not be substantially benefited by rendering e-readers’ ACS accessible</w:t>
      </w:r>
      <w:r w:rsidR="00443B33">
        <w:rPr>
          <w:szCs w:val="22"/>
        </w:rPr>
        <w:t xml:space="preserve"> because other products, such as mobile phones, tablets and computers, which are required by the CVAA to be accessible, can be used for reading</w:t>
      </w:r>
      <w:r w:rsidR="003A34D0" w:rsidRPr="003439BF">
        <w:rPr>
          <w:szCs w:val="22"/>
        </w:rPr>
        <w:t>.</w:t>
      </w:r>
      <w:r w:rsidR="003A34D0">
        <w:rPr>
          <w:rStyle w:val="FootnoteReference"/>
          <w:szCs w:val="22"/>
        </w:rPr>
        <w:footnoteReference w:id="44"/>
      </w:r>
      <w:r w:rsidR="003A34D0" w:rsidRPr="003439BF">
        <w:rPr>
          <w:szCs w:val="22"/>
        </w:rPr>
        <w:t xml:space="preserve"> </w:t>
      </w:r>
      <w:r w:rsidR="00343B2D" w:rsidRPr="003439BF">
        <w:rPr>
          <w:szCs w:val="22"/>
        </w:rPr>
        <w:t xml:space="preserve"> </w:t>
      </w:r>
    </w:p>
    <w:p w:rsidR="00064FD7" w:rsidRPr="00064FD7" w:rsidRDefault="002173A8" w:rsidP="00F07665">
      <w:pPr>
        <w:pStyle w:val="ParaNum"/>
      </w:pPr>
      <w:r>
        <w:rPr>
          <w:szCs w:val="22"/>
        </w:rPr>
        <w:t>A number of comment</w:t>
      </w:r>
      <w:r w:rsidR="00DA7374">
        <w:rPr>
          <w:szCs w:val="22"/>
        </w:rPr>
        <w:t>er</w:t>
      </w:r>
      <w:r>
        <w:rPr>
          <w:szCs w:val="22"/>
        </w:rPr>
        <w:t xml:space="preserve">s have expressed </w:t>
      </w:r>
      <w:r w:rsidR="006A5365">
        <w:rPr>
          <w:szCs w:val="22"/>
        </w:rPr>
        <w:t xml:space="preserve">opposition to this </w:t>
      </w:r>
      <w:r w:rsidR="00F07665">
        <w:rPr>
          <w:szCs w:val="22"/>
        </w:rPr>
        <w:t>Petition</w:t>
      </w:r>
      <w:r w:rsidR="00CC6C6E">
        <w:rPr>
          <w:szCs w:val="22"/>
        </w:rPr>
        <w:t>.</w:t>
      </w:r>
      <w:r w:rsidR="00006C28">
        <w:rPr>
          <w:rStyle w:val="FootnoteReference"/>
          <w:szCs w:val="22"/>
        </w:rPr>
        <w:footnoteReference w:id="45"/>
      </w:r>
      <w:r w:rsidR="00CC6C6E">
        <w:rPr>
          <w:szCs w:val="22"/>
        </w:rPr>
        <w:t xml:space="preserve">  </w:t>
      </w:r>
      <w:r w:rsidR="00DA7374">
        <w:rPr>
          <w:szCs w:val="22"/>
        </w:rPr>
        <w:t>For example, the NF</w:t>
      </w:r>
      <w:r w:rsidR="00EE1F2C">
        <w:rPr>
          <w:szCs w:val="22"/>
        </w:rPr>
        <w:t>B</w:t>
      </w:r>
      <w:r w:rsidR="00DA7374">
        <w:rPr>
          <w:szCs w:val="22"/>
        </w:rPr>
        <w:t xml:space="preserve"> Coalition</w:t>
      </w:r>
      <w:r w:rsidR="00A6698B">
        <w:rPr>
          <w:szCs w:val="22"/>
        </w:rPr>
        <w:t xml:space="preserve"> </w:t>
      </w:r>
      <w:r w:rsidR="00DA7374">
        <w:rPr>
          <w:szCs w:val="22"/>
        </w:rPr>
        <w:t xml:space="preserve">maintains </w:t>
      </w:r>
      <w:r w:rsidR="00A6698B">
        <w:rPr>
          <w:szCs w:val="22"/>
        </w:rPr>
        <w:t xml:space="preserve">that </w:t>
      </w:r>
      <w:r w:rsidR="00CC3F03">
        <w:rPr>
          <w:szCs w:val="22"/>
        </w:rPr>
        <w:t xml:space="preserve">e-readers </w:t>
      </w:r>
      <w:r w:rsidR="00A6698B">
        <w:rPr>
          <w:szCs w:val="22"/>
        </w:rPr>
        <w:t xml:space="preserve">are </w:t>
      </w:r>
      <w:r w:rsidR="00BF08E8">
        <w:rPr>
          <w:szCs w:val="22"/>
        </w:rPr>
        <w:t xml:space="preserve">designed </w:t>
      </w:r>
      <w:r w:rsidR="000141F1">
        <w:rPr>
          <w:szCs w:val="22"/>
        </w:rPr>
        <w:t xml:space="preserve">to use ACS as a primary purpose </w:t>
      </w:r>
      <w:r w:rsidR="00BF08E8">
        <w:rPr>
          <w:szCs w:val="22"/>
        </w:rPr>
        <w:t xml:space="preserve">and </w:t>
      </w:r>
      <w:r w:rsidR="000141F1">
        <w:rPr>
          <w:szCs w:val="22"/>
        </w:rPr>
        <w:t xml:space="preserve">are </w:t>
      </w:r>
      <w:r w:rsidR="00BF08E8">
        <w:rPr>
          <w:szCs w:val="22"/>
        </w:rPr>
        <w:t xml:space="preserve">marketed </w:t>
      </w:r>
      <w:r w:rsidR="000141F1">
        <w:rPr>
          <w:szCs w:val="22"/>
        </w:rPr>
        <w:t>as such</w:t>
      </w:r>
      <w:r w:rsidR="00DF5D19">
        <w:rPr>
          <w:szCs w:val="22"/>
        </w:rPr>
        <w:t>.</w:t>
      </w:r>
      <w:r w:rsidR="00BF08E8">
        <w:rPr>
          <w:rStyle w:val="FootnoteReference"/>
          <w:szCs w:val="22"/>
        </w:rPr>
        <w:footnoteReference w:id="46"/>
      </w:r>
      <w:r w:rsidR="00DF5D19">
        <w:rPr>
          <w:szCs w:val="22"/>
        </w:rPr>
        <w:t xml:space="preserve">  </w:t>
      </w:r>
      <w:r w:rsidR="00DA7374">
        <w:rPr>
          <w:szCs w:val="22"/>
        </w:rPr>
        <w:t xml:space="preserve">They claim </w:t>
      </w:r>
      <w:r w:rsidR="00DF5D19">
        <w:rPr>
          <w:szCs w:val="22"/>
        </w:rPr>
        <w:t>that e-readers can be used to connect to social media, including the electronic messaging functions of social media, and that</w:t>
      </w:r>
      <w:r w:rsidR="004C6B57">
        <w:rPr>
          <w:szCs w:val="22"/>
        </w:rPr>
        <w:t xml:space="preserve"> the online marketing for </w:t>
      </w:r>
      <w:r w:rsidR="00EE1F2C">
        <w:rPr>
          <w:szCs w:val="22"/>
        </w:rPr>
        <w:t xml:space="preserve">one e-reader that would fall into the identified class, </w:t>
      </w:r>
      <w:r w:rsidR="004C6B57">
        <w:rPr>
          <w:szCs w:val="22"/>
        </w:rPr>
        <w:t>the</w:t>
      </w:r>
      <w:r w:rsidR="00DF5D19">
        <w:rPr>
          <w:szCs w:val="22"/>
        </w:rPr>
        <w:t xml:space="preserve"> Kobo</w:t>
      </w:r>
      <w:r w:rsidR="004C6B57">
        <w:rPr>
          <w:szCs w:val="22"/>
        </w:rPr>
        <w:t xml:space="preserve"> Glo</w:t>
      </w:r>
      <w:r w:rsidR="00EE1F2C">
        <w:rPr>
          <w:szCs w:val="22"/>
        </w:rPr>
        <w:t>,</w:t>
      </w:r>
      <w:r w:rsidR="00DF5D19">
        <w:rPr>
          <w:szCs w:val="22"/>
        </w:rPr>
        <w:t xml:space="preserve"> promotes the ease with which Facebook can be used.</w:t>
      </w:r>
      <w:r w:rsidR="00DF5D19">
        <w:rPr>
          <w:rStyle w:val="FootnoteReference"/>
          <w:szCs w:val="22"/>
        </w:rPr>
        <w:footnoteReference w:id="47"/>
      </w:r>
      <w:r w:rsidR="004C6B57">
        <w:rPr>
          <w:szCs w:val="22"/>
        </w:rPr>
        <w:t xml:space="preserve">  The NFB Coalition also</w:t>
      </w:r>
      <w:r w:rsidR="004E58D2">
        <w:rPr>
          <w:szCs w:val="22"/>
        </w:rPr>
        <w:t xml:space="preserve"> argues that the Petition fails to address the lifecycle of e-readers as required by the </w:t>
      </w:r>
      <w:r w:rsidR="004E58D2" w:rsidRPr="004E58D2">
        <w:rPr>
          <w:i/>
          <w:szCs w:val="22"/>
        </w:rPr>
        <w:t>ACS Report and Order</w:t>
      </w:r>
      <w:r w:rsidR="004E58D2">
        <w:rPr>
          <w:szCs w:val="22"/>
        </w:rPr>
        <w:t>,</w:t>
      </w:r>
      <w:r w:rsidR="004E58D2">
        <w:rPr>
          <w:rStyle w:val="FootnoteReference"/>
          <w:szCs w:val="22"/>
        </w:rPr>
        <w:footnoteReference w:id="48"/>
      </w:r>
      <w:r w:rsidR="004E58D2">
        <w:rPr>
          <w:szCs w:val="22"/>
        </w:rPr>
        <w:t xml:space="preserve"> and</w:t>
      </w:r>
      <w:r w:rsidR="004C6B57">
        <w:rPr>
          <w:szCs w:val="22"/>
        </w:rPr>
        <w:t xml:space="preserve"> takes issue with the criteria used in the Petition to describe the class for which the waiver is sought</w:t>
      </w:r>
      <w:r w:rsidR="004E58D2">
        <w:rPr>
          <w:szCs w:val="22"/>
        </w:rPr>
        <w:t>, arguing, for example, that specifying no LCD screen in the class would not work if LCD technology were replaced by another</w:t>
      </w:r>
      <w:r w:rsidR="00DE2C9C">
        <w:rPr>
          <w:szCs w:val="22"/>
        </w:rPr>
        <w:t>,</w:t>
      </w:r>
      <w:r w:rsidR="004E58D2">
        <w:rPr>
          <w:szCs w:val="22"/>
        </w:rPr>
        <w:t xml:space="preserve"> more advanced technology.</w:t>
      </w:r>
      <w:r w:rsidR="004E58D2">
        <w:rPr>
          <w:rStyle w:val="FootnoteReference"/>
          <w:szCs w:val="22"/>
        </w:rPr>
        <w:footnoteReference w:id="49"/>
      </w:r>
      <w:r w:rsidR="004C6B57">
        <w:rPr>
          <w:szCs w:val="22"/>
        </w:rPr>
        <w:t xml:space="preserve"> </w:t>
      </w:r>
      <w:r w:rsidR="00A6698B">
        <w:rPr>
          <w:szCs w:val="22"/>
        </w:rPr>
        <w:t xml:space="preserve"> </w:t>
      </w:r>
      <w:r w:rsidR="004E58D2">
        <w:rPr>
          <w:szCs w:val="22"/>
        </w:rPr>
        <w:t>The NFB Coalition thus concludes</w:t>
      </w:r>
      <w:r w:rsidR="00A6698B">
        <w:rPr>
          <w:szCs w:val="22"/>
        </w:rPr>
        <w:t xml:space="preserve"> that the public interest would be harmed by granting the class waiver.</w:t>
      </w:r>
      <w:r w:rsidR="00BF08E8">
        <w:rPr>
          <w:rStyle w:val="FootnoteReference"/>
          <w:szCs w:val="22"/>
        </w:rPr>
        <w:footnoteReference w:id="50"/>
      </w:r>
      <w:r w:rsidR="00A6698B">
        <w:rPr>
          <w:szCs w:val="22"/>
        </w:rPr>
        <w:t xml:space="preserve">  </w:t>
      </w:r>
    </w:p>
    <w:p w:rsidR="00FA3B5C" w:rsidRDefault="00064FD7" w:rsidP="0069615F">
      <w:pPr>
        <w:pStyle w:val="ParaNum"/>
      </w:pPr>
      <w:r>
        <w:rPr>
          <w:szCs w:val="22"/>
        </w:rPr>
        <w:t xml:space="preserve">As noted above, </w:t>
      </w:r>
      <w:r w:rsidR="00193A14">
        <w:t>beginning October 8, 2013, ACS products or services offered in interstate commerce must be accessible, unless not achievable</w:t>
      </w:r>
      <w:r w:rsidR="00193A14">
        <w:rPr>
          <w:szCs w:val="22"/>
        </w:rPr>
        <w:t>.</w:t>
      </w:r>
      <w:r w:rsidR="00193A14">
        <w:rPr>
          <w:rStyle w:val="FootnoteReference"/>
          <w:szCs w:val="22"/>
        </w:rPr>
        <w:footnoteReference w:id="51"/>
      </w:r>
      <w:r w:rsidR="00193A14">
        <w:rPr>
          <w:szCs w:val="22"/>
        </w:rPr>
        <w:t xml:space="preserve">  October 8, </w:t>
      </w:r>
      <w:r w:rsidR="00193A14" w:rsidRPr="00D756AD">
        <w:rPr>
          <w:szCs w:val="22"/>
        </w:rPr>
        <w:t xml:space="preserve">2013 </w:t>
      </w:r>
      <w:r w:rsidR="00D11B90" w:rsidRPr="00D756AD">
        <w:rPr>
          <w:szCs w:val="22"/>
        </w:rPr>
        <w:t>was</w:t>
      </w:r>
      <w:r>
        <w:rPr>
          <w:szCs w:val="22"/>
        </w:rPr>
        <w:t xml:space="preserve"> only three and a half weeks after </w:t>
      </w:r>
      <w:r w:rsidR="00CB1752">
        <w:rPr>
          <w:szCs w:val="22"/>
        </w:rPr>
        <w:t xml:space="preserve">the reply comment period </w:t>
      </w:r>
      <w:r w:rsidR="00DE2C9C">
        <w:rPr>
          <w:szCs w:val="22"/>
        </w:rPr>
        <w:t xml:space="preserve">for the Coalition Petition </w:t>
      </w:r>
      <w:r w:rsidR="00CB1752">
        <w:rPr>
          <w:szCs w:val="22"/>
        </w:rPr>
        <w:t>ended on September 13, 2013</w:t>
      </w:r>
      <w:r>
        <w:rPr>
          <w:szCs w:val="22"/>
        </w:rPr>
        <w:t xml:space="preserve">. </w:t>
      </w:r>
      <w:r w:rsidR="00193A14">
        <w:rPr>
          <w:szCs w:val="22"/>
        </w:rPr>
        <w:t xml:space="preserve"> </w:t>
      </w:r>
      <w:r w:rsidR="00592738">
        <w:rPr>
          <w:szCs w:val="22"/>
        </w:rPr>
        <w:t xml:space="preserve">CGB has concluded that additional time is needed to review </w:t>
      </w:r>
      <w:r>
        <w:rPr>
          <w:szCs w:val="22"/>
        </w:rPr>
        <w:t>the record in this proceeding</w:t>
      </w:r>
      <w:r w:rsidR="00FA3B5C">
        <w:rPr>
          <w:szCs w:val="22"/>
        </w:rPr>
        <w:t xml:space="preserve"> to determine </w:t>
      </w:r>
      <w:r w:rsidR="00592738">
        <w:rPr>
          <w:szCs w:val="22"/>
        </w:rPr>
        <w:t>whether the identified class of e-readers has features or functions that are capable of accessing ACS, but nonetheless are designed primarily for purposes other than using ACS</w:t>
      </w:r>
      <w:r w:rsidR="00CC6C6E">
        <w:t xml:space="preserve">. </w:t>
      </w:r>
      <w:r w:rsidR="006C6867">
        <w:t xml:space="preserve"> </w:t>
      </w:r>
      <w:r w:rsidR="0069615F">
        <w:t xml:space="preserve">Specifically, </w:t>
      </w:r>
      <w:r w:rsidR="00EE1F2C">
        <w:t xml:space="preserve">among other things, </w:t>
      </w:r>
      <w:r w:rsidR="00FA3B5C">
        <w:t xml:space="preserve">additional time is needed </w:t>
      </w:r>
      <w:r w:rsidR="0069615F">
        <w:t xml:space="preserve">for the Bureau </w:t>
      </w:r>
      <w:r w:rsidR="00FA3B5C">
        <w:t xml:space="preserve">to </w:t>
      </w:r>
      <w:r w:rsidR="00FA3B5C">
        <w:rPr>
          <w:szCs w:val="22"/>
        </w:rPr>
        <w:t>consider the manufacturer</w:t>
      </w:r>
      <w:r w:rsidR="0069615F">
        <w:rPr>
          <w:szCs w:val="22"/>
        </w:rPr>
        <w:t>s’</w:t>
      </w:r>
      <w:r w:rsidR="00FA3B5C">
        <w:rPr>
          <w:szCs w:val="22"/>
        </w:rPr>
        <w:t xml:space="preserve"> market research and the usage trends of similar equipment or services, whether the ACS functionality in</w:t>
      </w:r>
      <w:r w:rsidR="0069615F">
        <w:rPr>
          <w:szCs w:val="22"/>
        </w:rPr>
        <w:t xml:space="preserve"> the specified class of</w:t>
      </w:r>
      <w:r w:rsidR="00FA3B5C">
        <w:rPr>
          <w:szCs w:val="22"/>
        </w:rPr>
        <w:t xml:space="preserve"> e-readers is designed to be operable outside of other functions or aids other functions, the impact that the removal of the ACS feature would have on the primary purpose for which the class of e-readers is claimed to be designed, and </w:t>
      </w:r>
      <w:r w:rsidR="0069615F">
        <w:rPr>
          <w:szCs w:val="22"/>
        </w:rPr>
        <w:t xml:space="preserve">to </w:t>
      </w:r>
      <w:r w:rsidR="00FA3B5C">
        <w:rPr>
          <w:szCs w:val="22"/>
        </w:rPr>
        <w:t>examin</w:t>
      </w:r>
      <w:r w:rsidR="0069615F">
        <w:rPr>
          <w:szCs w:val="22"/>
        </w:rPr>
        <w:t>e</w:t>
      </w:r>
      <w:r w:rsidR="00FA3B5C">
        <w:rPr>
          <w:szCs w:val="22"/>
        </w:rPr>
        <w:t xml:space="preserve"> waivers for similar products or services</w:t>
      </w:r>
      <w:r w:rsidR="0069615F">
        <w:rPr>
          <w:szCs w:val="22"/>
        </w:rPr>
        <w:t>.</w:t>
      </w:r>
      <w:r w:rsidR="00FA3B5C">
        <w:t xml:space="preserve"> </w:t>
      </w:r>
      <w:r w:rsidR="0069615F">
        <w:t xml:space="preserve">  </w:t>
      </w:r>
      <w:r w:rsidR="00263DB6">
        <w:t>Also</w:t>
      </w:r>
      <w:r w:rsidR="0069615F">
        <w:t>, additional time is needed</w:t>
      </w:r>
      <w:r w:rsidR="0026024C">
        <w:t xml:space="preserve"> for examination of the e-reader product lifecycles</w:t>
      </w:r>
      <w:r w:rsidR="0069615F">
        <w:t xml:space="preserve"> to determine the duration of the waiver, if granted.</w:t>
      </w:r>
    </w:p>
    <w:p w:rsidR="00297F37" w:rsidRPr="00F07665" w:rsidRDefault="006C6867" w:rsidP="00F07665">
      <w:pPr>
        <w:pStyle w:val="ParaNum"/>
      </w:pPr>
      <w:r>
        <w:rPr>
          <w:snapToGrid/>
          <w:kern w:val="0"/>
        </w:rPr>
        <w:t>In the</w:t>
      </w:r>
      <w:r w:rsidRPr="00F07665">
        <w:rPr>
          <w:snapToGrid/>
          <w:kern w:val="0"/>
        </w:rPr>
        <w:t xml:space="preserve"> </w:t>
      </w:r>
      <w:r w:rsidRPr="00F07665">
        <w:rPr>
          <w:i/>
          <w:snapToGrid/>
          <w:kern w:val="0"/>
        </w:rPr>
        <w:t>ACS Report and Order</w:t>
      </w:r>
      <w:r w:rsidRPr="00F07665">
        <w:rPr>
          <w:snapToGrid/>
          <w:kern w:val="0"/>
        </w:rPr>
        <w:t>,</w:t>
      </w:r>
      <w:r>
        <w:rPr>
          <w:snapToGrid/>
          <w:kern w:val="0"/>
        </w:rPr>
        <w:t xml:space="preserve"> the Commission</w:t>
      </w:r>
      <w:r w:rsidR="00E424C6">
        <w:rPr>
          <w:snapToGrid/>
          <w:kern w:val="0"/>
        </w:rPr>
        <w:t xml:space="preserve"> </w:t>
      </w:r>
      <w:r w:rsidR="0038461D">
        <w:rPr>
          <w:snapToGrid/>
          <w:kern w:val="0"/>
        </w:rPr>
        <w:t xml:space="preserve">announced a </w:t>
      </w:r>
      <w:r w:rsidR="00A04BA5">
        <w:rPr>
          <w:snapToGrid/>
          <w:kern w:val="0"/>
        </w:rPr>
        <w:t xml:space="preserve">goal to complete action on waiver applications within 180 days of </w:t>
      </w:r>
      <w:r w:rsidR="0038461D">
        <w:rPr>
          <w:snapToGrid/>
          <w:kern w:val="0"/>
        </w:rPr>
        <w:t>placing these</w:t>
      </w:r>
      <w:r w:rsidR="00263DB6">
        <w:rPr>
          <w:snapToGrid/>
          <w:kern w:val="0"/>
        </w:rPr>
        <w:t xml:space="preserve"> applications</w:t>
      </w:r>
      <w:r w:rsidR="0038461D">
        <w:rPr>
          <w:snapToGrid/>
          <w:kern w:val="0"/>
        </w:rPr>
        <w:t xml:space="preserve"> on </w:t>
      </w:r>
      <w:r w:rsidR="00A04BA5">
        <w:rPr>
          <w:snapToGrid/>
          <w:kern w:val="0"/>
        </w:rPr>
        <w:t>public notice</w:t>
      </w:r>
      <w:r w:rsidRPr="00F07665">
        <w:rPr>
          <w:snapToGrid/>
          <w:kern w:val="0"/>
        </w:rPr>
        <w:t>.</w:t>
      </w:r>
      <w:r>
        <w:rPr>
          <w:rStyle w:val="FootnoteReference"/>
          <w:szCs w:val="22"/>
        </w:rPr>
        <w:footnoteReference w:id="52"/>
      </w:r>
      <w:r>
        <w:rPr>
          <w:snapToGrid/>
          <w:kern w:val="0"/>
        </w:rPr>
        <w:t xml:space="preserve">  </w:t>
      </w:r>
      <w:r w:rsidR="00064FD7">
        <w:rPr>
          <w:snapToGrid/>
          <w:kern w:val="0"/>
        </w:rPr>
        <w:t xml:space="preserve">In the instant proceeding, 180 days past the release </w:t>
      </w:r>
      <w:r w:rsidR="0038461D">
        <w:rPr>
          <w:snapToGrid/>
          <w:kern w:val="0"/>
        </w:rPr>
        <w:t xml:space="preserve">date </w:t>
      </w:r>
      <w:r w:rsidR="00064FD7">
        <w:rPr>
          <w:snapToGrid/>
          <w:kern w:val="0"/>
        </w:rPr>
        <w:t xml:space="preserve">of </w:t>
      </w:r>
      <w:r>
        <w:rPr>
          <w:snapToGrid/>
          <w:kern w:val="0"/>
        </w:rPr>
        <w:t>the public notice w</w:t>
      </w:r>
      <w:r w:rsidR="00064FD7">
        <w:rPr>
          <w:snapToGrid/>
          <w:kern w:val="0"/>
        </w:rPr>
        <w:t xml:space="preserve">ill </w:t>
      </w:r>
      <w:r>
        <w:rPr>
          <w:snapToGrid/>
          <w:kern w:val="0"/>
        </w:rPr>
        <w:t>be January 28, 2014.</w:t>
      </w:r>
      <w:r w:rsidR="00F07665">
        <w:t xml:space="preserve">  </w:t>
      </w:r>
      <w:r w:rsidR="00B9756D">
        <w:t xml:space="preserve">CGB </w:t>
      </w:r>
      <w:r w:rsidR="00B737E1" w:rsidRPr="00F07665">
        <w:rPr>
          <w:szCs w:val="22"/>
        </w:rPr>
        <w:t xml:space="preserve">therefore issues a temporary waiver from </w:t>
      </w:r>
      <w:r w:rsidR="00F07665">
        <w:rPr>
          <w:bCs/>
          <w:szCs w:val="22"/>
        </w:rPr>
        <w:t>compliance</w:t>
      </w:r>
      <w:r w:rsidR="00B737E1" w:rsidRPr="00F07665">
        <w:rPr>
          <w:bCs/>
          <w:szCs w:val="22"/>
        </w:rPr>
        <w:t xml:space="preserve"> with </w:t>
      </w:r>
      <w:r w:rsidR="00F07665">
        <w:rPr>
          <w:bCs/>
          <w:szCs w:val="22"/>
        </w:rPr>
        <w:t xml:space="preserve">the obligations of </w:t>
      </w:r>
      <w:r w:rsidR="00B737E1" w:rsidRPr="00F07665">
        <w:rPr>
          <w:bCs/>
          <w:szCs w:val="22"/>
        </w:rPr>
        <w:t>section 14.20</w:t>
      </w:r>
      <w:r w:rsidR="00A04BA5">
        <w:rPr>
          <w:bCs/>
          <w:szCs w:val="22"/>
        </w:rPr>
        <w:t xml:space="preserve"> and</w:t>
      </w:r>
      <w:r w:rsidR="00B737E1" w:rsidRPr="00F07665">
        <w:rPr>
          <w:bCs/>
          <w:szCs w:val="22"/>
        </w:rPr>
        <w:t xml:space="preserve"> the performance objectives of section 14.21 of our rules</w:t>
      </w:r>
      <w:r w:rsidR="006C7C55" w:rsidRPr="00F07665">
        <w:rPr>
          <w:bCs/>
          <w:szCs w:val="22"/>
        </w:rPr>
        <w:t>,</w:t>
      </w:r>
      <w:r w:rsidR="00B737E1">
        <w:rPr>
          <w:rStyle w:val="FootnoteReference"/>
          <w:bCs/>
          <w:szCs w:val="22"/>
        </w:rPr>
        <w:footnoteReference w:id="53"/>
      </w:r>
      <w:r w:rsidR="00064FD7">
        <w:rPr>
          <w:bCs/>
          <w:szCs w:val="22"/>
        </w:rPr>
        <w:t xml:space="preserve"> </w:t>
      </w:r>
      <w:r w:rsidR="00064FD7" w:rsidRPr="00F07665">
        <w:rPr>
          <w:szCs w:val="22"/>
        </w:rPr>
        <w:t>for</w:t>
      </w:r>
      <w:r w:rsidR="00064FD7">
        <w:rPr>
          <w:szCs w:val="22"/>
        </w:rPr>
        <w:t xml:space="preserve"> the class of</w:t>
      </w:r>
      <w:r w:rsidR="00064FD7" w:rsidRPr="00F07665">
        <w:rPr>
          <w:szCs w:val="22"/>
        </w:rPr>
        <w:t xml:space="preserve"> e-reader equipment</w:t>
      </w:r>
      <w:r w:rsidR="00064FD7">
        <w:rPr>
          <w:szCs w:val="22"/>
        </w:rPr>
        <w:t xml:space="preserve"> </w:t>
      </w:r>
      <w:r w:rsidR="00064FD7" w:rsidRPr="00F07665">
        <w:rPr>
          <w:szCs w:val="22"/>
        </w:rPr>
        <w:t>defined in the Coalition Petition and Supplement</w:t>
      </w:r>
      <w:r w:rsidR="00064FD7">
        <w:rPr>
          <w:szCs w:val="22"/>
        </w:rPr>
        <w:t>,</w:t>
      </w:r>
      <w:r w:rsidR="00064FD7">
        <w:rPr>
          <w:rStyle w:val="FootnoteReference"/>
          <w:szCs w:val="22"/>
        </w:rPr>
        <w:footnoteReference w:id="54"/>
      </w:r>
      <w:r w:rsidR="006C7C55" w:rsidRPr="00F07665">
        <w:rPr>
          <w:szCs w:val="22"/>
        </w:rPr>
        <w:t xml:space="preserve"> until </w:t>
      </w:r>
      <w:r w:rsidR="006C7C55" w:rsidRPr="00C15E9C">
        <w:rPr>
          <w:snapToGrid/>
          <w:kern w:val="0"/>
        </w:rPr>
        <w:t>January 28, 2014</w:t>
      </w:r>
      <w:r w:rsidR="007516EF" w:rsidRPr="00F07665">
        <w:rPr>
          <w:snapToGrid/>
          <w:kern w:val="0"/>
        </w:rPr>
        <w:t xml:space="preserve">.  </w:t>
      </w:r>
      <w:r w:rsidR="0038461D">
        <w:rPr>
          <w:snapToGrid/>
          <w:kern w:val="0"/>
        </w:rPr>
        <w:t>During this period, the Commission will evaluate the merits of waiving the ACS obligations underlying the waiver request</w:t>
      </w:r>
      <w:r w:rsidR="00592738" w:rsidRPr="00592738">
        <w:rPr>
          <w:szCs w:val="22"/>
        </w:rPr>
        <w:t xml:space="preserve"> </w:t>
      </w:r>
      <w:r w:rsidR="00592738">
        <w:rPr>
          <w:szCs w:val="22"/>
        </w:rPr>
        <w:t>to determine</w:t>
      </w:r>
      <w:r w:rsidR="00592738">
        <w:t xml:space="preserve"> whether a grant or denial would be </w:t>
      </w:r>
      <w:r w:rsidR="0069615F">
        <w:t xml:space="preserve">consistent with our ACS rules and </w:t>
      </w:r>
      <w:r w:rsidR="00592738">
        <w:t>in the public interest</w:t>
      </w:r>
      <w:r w:rsidR="0038461D">
        <w:rPr>
          <w:snapToGrid/>
          <w:kern w:val="0"/>
        </w:rPr>
        <w:t xml:space="preserve">. </w:t>
      </w:r>
    </w:p>
    <w:p w:rsidR="00632910" w:rsidRDefault="00632910">
      <w:pPr>
        <w:pStyle w:val="Heading1"/>
        <w:spacing w:after="220"/>
        <w:jc w:val="both"/>
        <w:rPr>
          <w:rFonts w:ascii="Times New Roman" w:hAnsi="Times New Roman"/>
          <w:szCs w:val="22"/>
        </w:rPr>
      </w:pPr>
      <w:r>
        <w:rPr>
          <w:rFonts w:ascii="Times New Roman" w:hAnsi="Times New Roman"/>
          <w:szCs w:val="22"/>
        </w:rPr>
        <w:t>ordering clauseS</w:t>
      </w:r>
    </w:p>
    <w:p w:rsidR="00632910" w:rsidRDefault="00632910">
      <w:pPr>
        <w:pStyle w:val="ParaNum"/>
        <w:tabs>
          <w:tab w:val="left" w:pos="1440"/>
        </w:tabs>
        <w:spacing w:after="220"/>
        <w:rPr>
          <w:szCs w:val="22"/>
        </w:rPr>
      </w:pPr>
      <w:r>
        <w:rPr>
          <w:szCs w:val="22"/>
        </w:rPr>
        <w:t>Accordingly, IT IS ORDERED</w:t>
      </w:r>
      <w:r>
        <w:rPr>
          <w:b/>
          <w:szCs w:val="22"/>
        </w:rPr>
        <w:t xml:space="preserve"> </w:t>
      </w:r>
      <w:r>
        <w:rPr>
          <w:szCs w:val="22"/>
        </w:rPr>
        <w:t xml:space="preserve">that, pursuant to the </w:t>
      </w:r>
      <w:r>
        <w:rPr>
          <w:spacing w:val="-2"/>
          <w:szCs w:val="22"/>
        </w:rPr>
        <w:t xml:space="preserve">authority </w:t>
      </w:r>
      <w:r>
        <w:rPr>
          <w:szCs w:val="22"/>
        </w:rPr>
        <w:t>contained in sections 4(i), 4(j) and 716 of the Communications Act of 1934, as amended, 47 U.S.C. §§ 154(i), (j) and 617, and sections</w:t>
      </w:r>
      <w:r w:rsidR="00525C87">
        <w:rPr>
          <w:szCs w:val="22"/>
        </w:rPr>
        <w:t xml:space="preserve"> 0.141(f),</w:t>
      </w:r>
      <w:r>
        <w:rPr>
          <w:szCs w:val="22"/>
        </w:rPr>
        <w:t xml:space="preserve"> 0.361,</w:t>
      </w:r>
      <w:r w:rsidR="00525C87">
        <w:rPr>
          <w:szCs w:val="22"/>
        </w:rPr>
        <w:t xml:space="preserve"> and</w:t>
      </w:r>
      <w:r>
        <w:rPr>
          <w:szCs w:val="22"/>
        </w:rPr>
        <w:t xml:space="preserve"> 1.3 of the Commission’s Rules, 47 C.F.R. §§</w:t>
      </w:r>
      <w:r w:rsidR="00525C87">
        <w:rPr>
          <w:szCs w:val="22"/>
        </w:rPr>
        <w:t xml:space="preserve"> 0.141(f),</w:t>
      </w:r>
      <w:r>
        <w:rPr>
          <w:szCs w:val="22"/>
        </w:rPr>
        <w:t xml:space="preserve"> 0.361,</w:t>
      </w:r>
      <w:r w:rsidR="00525C87">
        <w:rPr>
          <w:szCs w:val="22"/>
        </w:rPr>
        <w:t xml:space="preserve"> and</w:t>
      </w:r>
      <w:r>
        <w:rPr>
          <w:szCs w:val="22"/>
        </w:rPr>
        <w:t xml:space="preserve"> 1.3, this </w:t>
      </w:r>
      <w:r w:rsidRPr="00EF53C8">
        <w:rPr>
          <w:szCs w:val="22"/>
        </w:rPr>
        <w:t>Order</w:t>
      </w:r>
      <w:r>
        <w:rPr>
          <w:i/>
          <w:szCs w:val="22"/>
        </w:rPr>
        <w:t xml:space="preserve"> </w:t>
      </w:r>
      <w:r>
        <w:rPr>
          <w:szCs w:val="22"/>
        </w:rPr>
        <w:t xml:space="preserve">IS ADOPTED.    </w:t>
      </w:r>
    </w:p>
    <w:p w:rsidR="00632910" w:rsidRDefault="00632910">
      <w:pPr>
        <w:pStyle w:val="ParaNum"/>
        <w:tabs>
          <w:tab w:val="left" w:pos="1440"/>
        </w:tabs>
        <w:spacing w:after="220"/>
        <w:rPr>
          <w:szCs w:val="22"/>
        </w:rPr>
      </w:pPr>
      <w:r>
        <w:rPr>
          <w:szCs w:val="22"/>
        </w:rPr>
        <w:t>IT IS FURTHER ORDERED</w:t>
      </w:r>
      <w:r>
        <w:rPr>
          <w:b/>
          <w:szCs w:val="22"/>
        </w:rPr>
        <w:t xml:space="preserve"> </w:t>
      </w:r>
      <w:r>
        <w:rPr>
          <w:szCs w:val="22"/>
        </w:rPr>
        <w:t>that the C</w:t>
      </w:r>
      <w:r w:rsidR="00917805">
        <w:rPr>
          <w:szCs w:val="22"/>
        </w:rPr>
        <w:t>oali</w:t>
      </w:r>
      <w:r>
        <w:rPr>
          <w:szCs w:val="22"/>
        </w:rPr>
        <w:t>tion Petition for Waiver IS GRANTED</w:t>
      </w:r>
      <w:r w:rsidR="00917805">
        <w:rPr>
          <w:szCs w:val="22"/>
        </w:rPr>
        <w:t xml:space="preserve"> on a temporary </w:t>
      </w:r>
      <w:r w:rsidR="00917805" w:rsidRPr="00D756AD">
        <w:rPr>
          <w:szCs w:val="22"/>
        </w:rPr>
        <w:t>basis</w:t>
      </w:r>
      <w:r w:rsidR="00D11B90" w:rsidRPr="004A4789">
        <w:rPr>
          <w:szCs w:val="22"/>
        </w:rPr>
        <w:t xml:space="preserve"> from October 8, 2013</w:t>
      </w:r>
      <w:r w:rsidR="007276AE">
        <w:rPr>
          <w:szCs w:val="22"/>
        </w:rPr>
        <w:t xml:space="preserve"> until January 28, 2014</w:t>
      </w:r>
      <w:r>
        <w:rPr>
          <w:szCs w:val="22"/>
        </w:rPr>
        <w:t xml:space="preserve"> to the extent discussed above</w:t>
      </w:r>
      <w:r w:rsidR="00995D77">
        <w:rPr>
          <w:szCs w:val="22"/>
        </w:rPr>
        <w:t>, and that the Commission reserves judgment as to a permanent disposition of this Petition.</w:t>
      </w:r>
    </w:p>
    <w:p w:rsidR="00632910" w:rsidRDefault="00632910">
      <w:pPr>
        <w:pStyle w:val="ParaNum"/>
        <w:tabs>
          <w:tab w:val="left" w:pos="1440"/>
        </w:tabs>
        <w:spacing w:after="220"/>
        <w:rPr>
          <w:szCs w:val="22"/>
        </w:rPr>
      </w:pPr>
      <w:r>
        <w:rPr>
          <w:szCs w:val="22"/>
        </w:rPr>
        <w:t>IT IS FURTHER ORDERED that this Order SHALL BE EFFECTIVE upon release.</w:t>
      </w:r>
    </w:p>
    <w:p w:rsidR="00632910" w:rsidRDefault="00632910">
      <w:pPr>
        <w:pStyle w:val="ParaNum"/>
        <w:tabs>
          <w:tab w:val="left" w:pos="1440"/>
        </w:tabs>
        <w:spacing w:after="220"/>
        <w:rPr>
          <w:szCs w:val="22"/>
        </w:rPr>
      </w:pPr>
      <w:r>
        <w:rPr>
          <w:szCs w:val="22"/>
        </w:rPr>
        <w:t xml:space="preserve">To request materials in accessible formats for people with disabilities (Braille, large print, electronic files, audio format), send an e-mail to fcc504@fcc.gov or call the Consumer and Governmental Affairs Bureau at 202-418-0530 (voice), 202-418-0432 (TTY).  </w:t>
      </w:r>
    </w:p>
    <w:p w:rsidR="00632910" w:rsidRDefault="00632910">
      <w:pPr>
        <w:tabs>
          <w:tab w:val="left" w:pos="-1440"/>
          <w:tab w:val="left" w:pos="-720"/>
        </w:tabs>
        <w:suppressAutoHyphens/>
        <w:rPr>
          <w:spacing w:val="-2"/>
          <w:szCs w:val="22"/>
        </w:rPr>
      </w:pPr>
    </w:p>
    <w:p w:rsidR="00632910" w:rsidRDefault="00632910">
      <w:pPr>
        <w:tabs>
          <w:tab w:val="left" w:pos="-1440"/>
          <w:tab w:val="left" w:pos="-720"/>
        </w:tabs>
        <w:suppressAutoHyphens/>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FEDERAL COMMUNICATIONS COMMISSION</w:t>
      </w:r>
    </w:p>
    <w:p w:rsidR="00632910" w:rsidRDefault="00632910">
      <w:pPr>
        <w:tabs>
          <w:tab w:val="left" w:pos="-1440"/>
          <w:tab w:val="left" w:pos="-720"/>
        </w:tabs>
        <w:suppressAutoHyphens/>
        <w:rPr>
          <w:spacing w:val="-2"/>
          <w:szCs w:val="22"/>
        </w:rPr>
      </w:pPr>
    </w:p>
    <w:p w:rsidR="00632910" w:rsidRDefault="00632910">
      <w:pPr>
        <w:tabs>
          <w:tab w:val="left" w:pos="-1440"/>
          <w:tab w:val="left" w:pos="-720"/>
        </w:tabs>
        <w:suppressAutoHyphens/>
        <w:rPr>
          <w:spacing w:val="-2"/>
          <w:szCs w:val="22"/>
        </w:rPr>
      </w:pPr>
    </w:p>
    <w:p w:rsidR="00632910" w:rsidRDefault="00632910">
      <w:pPr>
        <w:tabs>
          <w:tab w:val="left" w:pos="-1440"/>
          <w:tab w:val="left" w:pos="-720"/>
        </w:tabs>
        <w:suppressAutoHyphens/>
        <w:rPr>
          <w:spacing w:val="-2"/>
          <w:szCs w:val="22"/>
        </w:rPr>
      </w:pPr>
    </w:p>
    <w:p w:rsidR="00632910" w:rsidRDefault="00632910">
      <w:pPr>
        <w:tabs>
          <w:tab w:val="left" w:pos="-1440"/>
          <w:tab w:val="left" w:pos="-720"/>
        </w:tabs>
        <w:suppressAutoHyphens/>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Kris Anne Monteith</w:t>
      </w:r>
    </w:p>
    <w:p w:rsidR="00632910" w:rsidRDefault="00632910">
      <w:pPr>
        <w:tabs>
          <w:tab w:val="left" w:pos="-1440"/>
          <w:tab w:val="left" w:pos="-720"/>
        </w:tabs>
        <w:suppressAutoHyphens/>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t>Acting Chief</w:t>
      </w:r>
    </w:p>
    <w:p w:rsidR="00632910" w:rsidRDefault="00632910">
      <w:pPr>
        <w:tabs>
          <w:tab w:val="left" w:pos="-1440"/>
          <w:tab w:val="left" w:pos="-720"/>
        </w:tabs>
        <w:suppressAutoHyphens/>
        <w:rPr>
          <w:snapToGrid/>
          <w:color w:val="000000"/>
          <w:kern w:val="0"/>
          <w:szCs w:val="22"/>
        </w:rPr>
      </w:pPr>
      <w:r>
        <w:rPr>
          <w:szCs w:val="22"/>
        </w:rPr>
        <w:tab/>
      </w:r>
      <w:r>
        <w:rPr>
          <w:szCs w:val="22"/>
        </w:rPr>
        <w:tab/>
      </w:r>
      <w:r>
        <w:rPr>
          <w:szCs w:val="22"/>
        </w:rPr>
        <w:tab/>
      </w:r>
      <w:r>
        <w:rPr>
          <w:szCs w:val="22"/>
        </w:rPr>
        <w:tab/>
      </w:r>
      <w:r>
        <w:rPr>
          <w:szCs w:val="22"/>
        </w:rPr>
        <w:tab/>
      </w:r>
      <w:r>
        <w:rPr>
          <w:szCs w:val="22"/>
        </w:rPr>
        <w:tab/>
        <w:t xml:space="preserve">Consumer and Governmental Affairs Bureau </w:t>
      </w:r>
    </w:p>
    <w:sectPr w:rsidR="006329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08" w:rsidRDefault="00A02B08">
      <w:pPr>
        <w:spacing w:line="20" w:lineRule="exact"/>
      </w:pPr>
    </w:p>
  </w:endnote>
  <w:endnote w:type="continuationSeparator" w:id="0">
    <w:p w:rsidR="00A02B08" w:rsidRDefault="00A02B08">
      <w:r>
        <w:t xml:space="preserve"> </w:t>
      </w:r>
    </w:p>
  </w:endnote>
  <w:endnote w:type="continuationNotice" w:id="1">
    <w:p w:rsidR="00A02B08" w:rsidRDefault="00A02B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10" w:rsidRDefault="00632910">
    <w:pPr>
      <w:pStyle w:val="Footer"/>
      <w:framePr w:wrap="around" w:vAnchor="text" w:hAnchor="margin" w:xAlign="center" w:y="1"/>
    </w:pPr>
    <w:r>
      <w:fldChar w:fldCharType="begin"/>
    </w:r>
    <w:r>
      <w:instrText xml:space="preserve">PAGE  </w:instrText>
    </w:r>
    <w:r>
      <w:fldChar w:fldCharType="end"/>
    </w:r>
  </w:p>
  <w:p w:rsidR="00632910" w:rsidRDefault="00632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10" w:rsidRDefault="00632910">
    <w:pPr>
      <w:pStyle w:val="Footer"/>
      <w:framePr w:wrap="around" w:vAnchor="text" w:hAnchor="margin" w:xAlign="center" w:y="1"/>
    </w:pPr>
    <w:r>
      <w:fldChar w:fldCharType="begin"/>
    </w:r>
    <w:r>
      <w:instrText xml:space="preserve">PAGE  </w:instrText>
    </w:r>
    <w:r>
      <w:fldChar w:fldCharType="separate"/>
    </w:r>
    <w:r w:rsidR="0068537C">
      <w:rPr>
        <w:noProof/>
      </w:rPr>
      <w:t>2</w:t>
    </w:r>
    <w:r>
      <w:fldChar w:fldCharType="end"/>
    </w:r>
  </w:p>
  <w:p w:rsidR="00632910" w:rsidRDefault="00632910">
    <w:pPr>
      <w:spacing w:before="140" w:line="100" w:lineRule="exact"/>
      <w:rPr>
        <w:sz w:val="10"/>
      </w:rPr>
    </w:pPr>
  </w:p>
  <w:p w:rsidR="00632910" w:rsidRDefault="00632910">
    <w:pPr>
      <w:suppressAutoHyphens/>
      <w:spacing w:line="227" w:lineRule="auto"/>
    </w:pPr>
  </w:p>
  <w:p w:rsidR="00632910" w:rsidRDefault="006329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10" w:rsidRDefault="0063291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08" w:rsidRDefault="00A02B08">
      <w:r>
        <w:separator/>
      </w:r>
    </w:p>
  </w:footnote>
  <w:footnote w:type="continuationSeparator" w:id="0">
    <w:p w:rsidR="00A02B08" w:rsidRDefault="00A02B08">
      <w:pPr>
        <w:rPr>
          <w:sz w:val="20"/>
        </w:rPr>
      </w:pPr>
      <w:r>
        <w:rPr>
          <w:sz w:val="20"/>
        </w:rPr>
        <w:t xml:space="preserve">(Continued from previous page)  </w:t>
      </w:r>
      <w:r>
        <w:rPr>
          <w:sz w:val="20"/>
        </w:rPr>
        <w:separator/>
      </w:r>
    </w:p>
  </w:footnote>
  <w:footnote w:type="continuationNotice" w:id="1">
    <w:p w:rsidR="00A02B08" w:rsidRDefault="00A02B08">
      <w:pPr>
        <w:rPr>
          <w:sz w:val="20"/>
        </w:rPr>
      </w:pPr>
      <w:r>
        <w:rPr>
          <w:sz w:val="20"/>
        </w:rPr>
        <w:t>(continued)</w:t>
      </w:r>
    </w:p>
  </w:footnote>
  <w:footnote w:id="2">
    <w:p w:rsidR="001327F7" w:rsidRDefault="001327F7" w:rsidP="001327F7">
      <w:pPr>
        <w:pStyle w:val="FootnoteText"/>
      </w:pPr>
      <w:r>
        <w:rPr>
          <w:rStyle w:val="FootnoteReference"/>
          <w:sz w:val="20"/>
        </w:rPr>
        <w:footnoteRef/>
      </w:r>
      <w:r>
        <w:t xml:space="preserve"> </w:t>
      </w:r>
      <w:r w:rsidR="00F5373B">
        <w:t xml:space="preserve">47 C.F.R. §§ 0.141(f) and 0.361.  </w:t>
      </w:r>
      <w:r w:rsidR="00F5373B">
        <w:rPr>
          <w:i/>
        </w:rPr>
        <w:t xml:space="preserve">See also </w:t>
      </w:r>
      <w:r>
        <w:rPr>
          <w:i/>
        </w:rPr>
        <w:t xml:space="preserve">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w:t>
      </w:r>
      <w:smartTag w:uri="urn:schemas-microsoft-com:office:smarttags" w:element="PersonName">
        <w:r>
          <w:rPr>
            <w:i/>
          </w:rPr>
          <w:t>Telecommunications</w:t>
        </w:r>
      </w:smartTag>
      <w:r>
        <w:rPr>
          <w:i/>
        </w:rPr>
        <w:t xml:space="preserve"> Act of 1966; Accessible Mobile Phone Options for People who are Blind, Deaf-Blind, or Have Low Vision</w:t>
      </w:r>
      <w:r>
        <w:t>, CG Docket No. 10-213, WT Docket No. 96-198, CG Docket No. 10-145, Report and Order and Further Notice of Proposed Rulemaking, 26 FCC Rcd 14557, 14566, 14640-14641, ¶¶ 19, 197 (2011) (</w:t>
      </w:r>
      <w:r>
        <w:rPr>
          <w:i/>
        </w:rPr>
        <w:t>ACS Report and Order</w:t>
      </w:r>
      <w:r>
        <w:t>) (delegating to CGB the authority to act upon all waiver requests).</w:t>
      </w:r>
    </w:p>
  </w:footnote>
  <w:footnote w:id="3">
    <w:p w:rsidR="00F5373B" w:rsidRDefault="00F5373B">
      <w:pPr>
        <w:pStyle w:val="FootnoteText"/>
      </w:pPr>
      <w:r>
        <w:rPr>
          <w:rStyle w:val="FootnoteReference"/>
        </w:rPr>
        <w:footnoteRef/>
      </w:r>
      <w:r>
        <w:t xml:space="preserve"> 47 C.F.R. § 1.3 (providing for waiver of the Commission’s rules for good cause shown).</w:t>
      </w:r>
    </w:p>
  </w:footnote>
  <w:footnote w:id="4">
    <w:p w:rsidR="001327F7" w:rsidRPr="0093064F" w:rsidRDefault="001327F7" w:rsidP="001327F7">
      <w:pPr>
        <w:pStyle w:val="FootnoteText"/>
      </w:pPr>
      <w:r>
        <w:rPr>
          <w:rStyle w:val="FootnoteReference"/>
        </w:rPr>
        <w:footnoteRef/>
      </w:r>
      <w:r>
        <w:t xml:space="preserve"> </w:t>
      </w:r>
      <w:r w:rsidRPr="0093064F">
        <w:t>The Coalition of E-Reader Manufacturers consists of Amazon.com, Inc.; Kobo Inc.; and Sony Electronics Inc.</w:t>
      </w:r>
    </w:p>
  </w:footnote>
  <w:footnote w:id="5">
    <w:p w:rsidR="001327F7" w:rsidRDefault="001327F7" w:rsidP="001327F7">
      <w:pPr>
        <w:pStyle w:val="FootnoteText"/>
      </w:pPr>
      <w:r>
        <w:rPr>
          <w:rStyle w:val="FootnoteReference"/>
          <w:sz w:val="20"/>
        </w:rPr>
        <w:footnoteRef/>
      </w:r>
      <w:r>
        <w:t xml:space="preserve"> 47 U.S.C. §§ 617 and 618</w:t>
      </w:r>
      <w:r w:rsidR="00F23B49">
        <w:t xml:space="preserve">.  </w:t>
      </w:r>
      <w:r w:rsidR="00F23B49">
        <w:rPr>
          <w:i/>
        </w:rPr>
        <w:t>See also</w:t>
      </w:r>
      <w:r w:rsidR="00F23B49">
        <w:t xml:space="preserve"> 47 C.F.R. §§ 14.1 </w:t>
      </w:r>
      <w:r w:rsidR="00F23B49">
        <w:rPr>
          <w:i/>
        </w:rPr>
        <w:t>et seq</w:t>
      </w:r>
      <w:r>
        <w:t>.</w:t>
      </w:r>
    </w:p>
  </w:footnote>
  <w:footnote w:id="6">
    <w:p w:rsidR="001327F7" w:rsidRDefault="001327F7" w:rsidP="001327F7">
      <w:pPr>
        <w:pStyle w:val="FootnoteText"/>
      </w:pPr>
      <w:r>
        <w:rPr>
          <w:rStyle w:val="FootnoteReference"/>
        </w:rPr>
        <w:footnoteRef/>
      </w:r>
      <w:r>
        <w:t xml:space="preserve"> </w:t>
      </w:r>
      <w:r w:rsidRPr="008E7C88">
        <w:rPr>
          <w:i/>
          <w:szCs w:val="22"/>
        </w:rPr>
        <w:t>See</w:t>
      </w:r>
      <w:r>
        <w:rPr>
          <w:szCs w:val="22"/>
        </w:rPr>
        <w:t xml:space="preserve"> </w:t>
      </w:r>
      <w:r w:rsidRPr="005E49E9">
        <w:t>47 C.F.R. 14.</w:t>
      </w:r>
      <w:r>
        <w:t xml:space="preserve">20 and 14.21; </w:t>
      </w:r>
      <w:r>
        <w:rPr>
          <w:i/>
        </w:rPr>
        <w:t>ACS Report and Order</w:t>
      </w:r>
      <w:r>
        <w:t>, 26 FCC Rcd at 14602-14604, ¶¶ 110-111</w:t>
      </w:r>
      <w:r w:rsidRPr="005E49E9">
        <w:t>.</w:t>
      </w:r>
    </w:p>
  </w:footnote>
  <w:footnote w:id="7">
    <w:p w:rsidR="001327F7" w:rsidRDefault="001327F7" w:rsidP="001327F7">
      <w:pPr>
        <w:pStyle w:val="FootnoteText"/>
      </w:pPr>
      <w:r>
        <w:rPr>
          <w:rStyle w:val="FootnoteReference"/>
        </w:rPr>
        <w:footnoteRef/>
      </w:r>
      <w:r>
        <w:t xml:space="preserve"> Coalition Petition at 12, n.41.</w:t>
      </w:r>
    </w:p>
  </w:footnote>
  <w:footnote w:id="8">
    <w:p w:rsidR="001327F7" w:rsidRDefault="001327F7" w:rsidP="001327F7">
      <w:pPr>
        <w:pStyle w:val="FootnoteText"/>
      </w:pPr>
      <w:r>
        <w:rPr>
          <w:rStyle w:val="FootnoteReference"/>
        </w:rPr>
        <w:footnoteRef/>
      </w:r>
      <w:r>
        <w:t xml:space="preserve"> </w:t>
      </w:r>
      <w:r>
        <w:rPr>
          <w:i/>
          <w:szCs w:val="22"/>
        </w:rPr>
        <w:t xml:space="preserve">See </w:t>
      </w:r>
      <w:r w:rsidRPr="00FB3A33">
        <w:rPr>
          <w:i/>
        </w:rPr>
        <w:t>Ex</w:t>
      </w:r>
      <w:r w:rsidRPr="0093064F">
        <w:rPr>
          <w:i/>
        </w:rPr>
        <w:t xml:space="preserve"> Parte</w:t>
      </w:r>
      <w:r w:rsidRPr="0093064F">
        <w:t xml:space="preserve"> letter supplementing Coalition of E-Reader Manufacturers Petition for Waiver,</w:t>
      </w:r>
      <w:r>
        <w:t xml:space="preserve"> CG Docket No. 10-213, filed</w:t>
      </w:r>
      <w:r w:rsidRPr="0093064F">
        <w:t xml:space="preserve"> July 17, 2013</w:t>
      </w:r>
      <w:r>
        <w:t xml:space="preserve"> (Coalition Petition Supplement)</w:t>
      </w:r>
      <w:r w:rsidRPr="0093064F">
        <w:t>.</w:t>
      </w:r>
    </w:p>
  </w:footnote>
  <w:footnote w:id="9">
    <w:p w:rsidR="001327F7" w:rsidRDefault="001327F7" w:rsidP="001327F7">
      <w:pPr>
        <w:pStyle w:val="FootnoteText"/>
      </w:pPr>
      <w:r>
        <w:rPr>
          <w:rStyle w:val="FootnoteReference"/>
        </w:rPr>
        <w:footnoteRef/>
      </w:r>
      <w:r>
        <w:t xml:space="preserve"> </w:t>
      </w:r>
      <w:r>
        <w:rPr>
          <w:i/>
        </w:rPr>
        <w:t>Request for Comment: Petition for Class Waiver of Commission’s Rules for Access to Advanced Communications Services and Equipment by People with Disabilities</w:t>
      </w:r>
      <w:r w:rsidRPr="00C761BC">
        <w:rPr>
          <w:i/>
        </w:rPr>
        <w:t>,</w:t>
      </w:r>
      <w:r>
        <w:t xml:space="preserve"> CG Docket 10-213, Public Notice, 28 FCC Rcd </w:t>
      </w:r>
      <w:r>
        <w:softHyphen/>
      </w:r>
      <w:r>
        <w:softHyphen/>
      </w:r>
      <w:r>
        <w:softHyphen/>
        <w:t>11147 (CGB 2013</w:t>
      </w:r>
      <w:r w:rsidRPr="00C761BC">
        <w:t>)</w:t>
      </w:r>
      <w:r>
        <w:t>.</w:t>
      </w:r>
    </w:p>
  </w:footnote>
  <w:footnote w:id="10">
    <w:p w:rsidR="00152756" w:rsidRDefault="00152756">
      <w:pPr>
        <w:pStyle w:val="FootnoteText"/>
      </w:pPr>
      <w:r>
        <w:rPr>
          <w:rStyle w:val="FootnoteReference"/>
        </w:rPr>
        <w:footnoteRef/>
      </w:r>
      <w:r>
        <w:t xml:space="preserve"> 47 C.F.R. § 1.3.</w:t>
      </w:r>
    </w:p>
  </w:footnote>
  <w:footnote w:id="11">
    <w:p w:rsidR="00D11B90" w:rsidRDefault="00D11B90">
      <w:pPr>
        <w:pStyle w:val="FootnoteText"/>
      </w:pPr>
      <w:r>
        <w:rPr>
          <w:rStyle w:val="FootnoteReference"/>
        </w:rPr>
        <w:footnoteRef/>
      </w:r>
      <w:r>
        <w:t xml:space="preserve"> </w:t>
      </w:r>
      <w:r w:rsidRPr="00D756AD">
        <w:t>The waiver is retroactive to October 8, 2013.</w:t>
      </w:r>
      <w:r w:rsidR="004A4789">
        <w:t xml:space="preserve"> </w:t>
      </w:r>
    </w:p>
  </w:footnote>
  <w:footnote w:id="12">
    <w:p w:rsidR="00632910" w:rsidRDefault="00632910">
      <w:pPr>
        <w:pStyle w:val="FootnoteText"/>
      </w:pPr>
      <w:r>
        <w:rPr>
          <w:rStyle w:val="FootnoteReference"/>
          <w:sz w:val="20"/>
        </w:rPr>
        <w:footnoteRef/>
      </w:r>
      <w:r>
        <w:t xml:space="preserve"> Pub. L. No. 111-260, 124 Stat. 2751 (2010), </w:t>
      </w:r>
      <w:r>
        <w:rPr>
          <w:i/>
        </w:rPr>
        <w:t>amended</w:t>
      </w:r>
      <w:r>
        <w:t xml:space="preserve"> Pub. L. No. 111-265, 124 Stat. 2795 (2010) (making technical corrections).</w:t>
      </w:r>
    </w:p>
  </w:footnote>
  <w:footnote w:id="13">
    <w:p w:rsidR="00632910" w:rsidRDefault="00632910">
      <w:pPr>
        <w:pStyle w:val="FootnoteText"/>
      </w:pPr>
      <w:r>
        <w:rPr>
          <w:rStyle w:val="FootnoteReference"/>
          <w:sz w:val="20"/>
        </w:rPr>
        <w:footnoteRef/>
      </w:r>
      <w:r>
        <w:t xml:space="preserve"> 47 U.S.C. § 617.</w:t>
      </w:r>
    </w:p>
  </w:footnote>
  <w:footnote w:id="14">
    <w:p w:rsidR="00632910" w:rsidRDefault="00632910">
      <w:pPr>
        <w:pStyle w:val="FootnoteText"/>
      </w:pPr>
      <w:r>
        <w:rPr>
          <w:rStyle w:val="FootnoteReference"/>
          <w:sz w:val="20"/>
        </w:rPr>
        <w:footnoteRef/>
      </w:r>
      <w:r>
        <w:t xml:space="preserve"> ACS is defined as interconnected voice over Internet protocol (VoIP) service; non-interconnected VoIP; electronic messaging service, such as e-mail, instant messaging, and SMS text messaging; and interoperable video conferencing service.  47 U.S.C. § 153(1); 47 C.F.R. § 14.10(c).</w:t>
      </w:r>
    </w:p>
  </w:footnote>
  <w:footnote w:id="15">
    <w:p w:rsidR="00632910" w:rsidRDefault="00632910">
      <w:pPr>
        <w:pStyle w:val="FootnoteText"/>
      </w:pPr>
      <w:r>
        <w:rPr>
          <w:rStyle w:val="FootnoteReference"/>
          <w:sz w:val="20"/>
        </w:rPr>
        <w:footnoteRef/>
      </w:r>
      <w:r>
        <w:rPr>
          <w:i/>
        </w:rPr>
        <w:t>ACS Report and Order</w:t>
      </w:r>
      <w:r>
        <w:t xml:space="preserve">, 26 FCC Rcd 14557.  </w:t>
      </w:r>
      <w:r>
        <w:rPr>
          <w:i/>
        </w:rPr>
        <w:t>See also</w:t>
      </w:r>
      <w:r>
        <w:t xml:space="preserve"> 47 C.F.R. § 14.20.  Specifically, t</w:t>
      </w:r>
      <w:r>
        <w:rPr>
          <w:bCs/>
        </w:rPr>
        <w:t xml:space="preserve">he ACS rules apply to models or versions of products and services that are introduced or upgraded after the October 8, 2013 date.  </w:t>
      </w:r>
      <w:r>
        <w:rPr>
          <w:i/>
        </w:rPr>
        <w:t>ACS Report and Order</w:t>
      </w:r>
      <w:r>
        <w:t>, 26 FCC Rcd at 14609, ¶¶ 124-125.</w:t>
      </w:r>
    </w:p>
  </w:footnote>
  <w:footnote w:id="16">
    <w:p w:rsidR="00632910" w:rsidRDefault="00632910">
      <w:pPr>
        <w:pStyle w:val="FootnoteText"/>
      </w:pPr>
      <w:r>
        <w:rPr>
          <w:rStyle w:val="FootnoteReference"/>
          <w:sz w:val="20"/>
        </w:rPr>
        <w:footnoteRef/>
      </w:r>
      <w:r>
        <w:t xml:space="preserve"> 47 U.S.C. § 618.</w:t>
      </w:r>
    </w:p>
  </w:footnote>
  <w:footnote w:id="17">
    <w:p w:rsidR="00632910" w:rsidRDefault="00632910">
      <w:pPr>
        <w:pStyle w:val="FootnoteText"/>
      </w:pPr>
      <w:r>
        <w:rPr>
          <w:rStyle w:val="FootnoteReference"/>
          <w:sz w:val="20"/>
        </w:rPr>
        <w:footnoteRef/>
      </w:r>
      <w:r>
        <w:t xml:space="preserve"> 47 U.S.C. §§ 255, 617 and 619.  </w:t>
      </w:r>
      <w:r>
        <w:rPr>
          <w:i/>
        </w:rPr>
        <w:t>See ACS Report and Order</w:t>
      </w:r>
      <w:r>
        <w:t>, 26 FCC Rcd at 14650-14577, ¶¶ 219-278.</w:t>
      </w:r>
    </w:p>
  </w:footnote>
  <w:footnote w:id="18">
    <w:p w:rsidR="00632910" w:rsidRDefault="00632910">
      <w:pPr>
        <w:pStyle w:val="FootnoteText"/>
      </w:pPr>
      <w:r>
        <w:rPr>
          <w:rStyle w:val="FootnoteReference"/>
          <w:sz w:val="20"/>
        </w:rPr>
        <w:footnoteRef/>
      </w:r>
      <w:r>
        <w:t xml:space="preserve"> 47 U.S.C. § 617(h).</w:t>
      </w:r>
    </w:p>
  </w:footnote>
  <w:footnote w:id="19">
    <w:p w:rsidR="00632910" w:rsidRDefault="00632910">
      <w:pPr>
        <w:pStyle w:val="FootnoteText"/>
      </w:pPr>
      <w:r>
        <w:rPr>
          <w:rStyle w:val="FootnoteReference"/>
          <w:sz w:val="20"/>
        </w:rPr>
        <w:footnoteRef/>
      </w:r>
      <w:r>
        <w:t xml:space="preserve"> </w:t>
      </w:r>
      <w:r w:rsidR="00784C50">
        <w:t xml:space="preserve">47 U.S.C. § 617(h)(1); </w:t>
      </w:r>
      <w:r>
        <w:rPr>
          <w:i/>
        </w:rPr>
        <w:t>ACS Report and Order</w:t>
      </w:r>
      <w:r>
        <w:t xml:space="preserve">, 26 FCC Rcd at 14634, ¶ 181.  </w:t>
      </w:r>
      <w:r>
        <w:rPr>
          <w:i/>
        </w:rPr>
        <w:t>See also</w:t>
      </w:r>
      <w:r>
        <w:t xml:space="preserve"> 47 C.F.R. § 14.5.</w:t>
      </w:r>
    </w:p>
  </w:footnote>
  <w:footnote w:id="20">
    <w:p w:rsidR="00632910" w:rsidRDefault="00632910">
      <w:pPr>
        <w:pStyle w:val="FootnoteText"/>
      </w:pPr>
      <w:r>
        <w:rPr>
          <w:rStyle w:val="FootnoteReference"/>
          <w:sz w:val="20"/>
        </w:rPr>
        <w:footnoteRef/>
      </w:r>
      <w:r>
        <w:t xml:space="preserve"> </w:t>
      </w:r>
      <w:r>
        <w:rPr>
          <w:i/>
        </w:rPr>
        <w:t>ACS Report and Order</w:t>
      </w:r>
      <w:r>
        <w:t xml:space="preserve">, 26 FCC Rcd at 14635, ¶ 184 (offering as an example of equipment or services that have multiple primary or co-primary purposes, smartphones that are designed for voice communications, text messaging, e-mail, web browsing, video chat, digital video recording, mobile hotspot connectivity, and several other purposes).  In other words, multipurpose equipment or services that are capable of accessing ACS and are designed primarily or co-primarily for ACS, do not qualify for a waiver under this provision.  47 U.S.C. § 617(h)(1); 47 C.F.R. § 14.5(a)(1).  </w:t>
      </w:r>
    </w:p>
  </w:footnote>
  <w:footnote w:id="21">
    <w:p w:rsidR="00632910" w:rsidRDefault="00632910">
      <w:pPr>
        <w:pStyle w:val="FootnoteText"/>
      </w:pPr>
      <w:r>
        <w:rPr>
          <w:rStyle w:val="FootnoteReference"/>
          <w:sz w:val="20"/>
        </w:rPr>
        <w:footnoteRef/>
      </w:r>
      <w:r>
        <w:t xml:space="preserve"> </w:t>
      </w:r>
      <w:r>
        <w:rPr>
          <w:i/>
        </w:rPr>
        <w:t>ACS Report and Order</w:t>
      </w:r>
      <w:r>
        <w:t xml:space="preserve">, 26 FCC Rcd at 14634, 14640, ¶¶ 182, 196.  </w:t>
      </w:r>
      <w:r>
        <w:rPr>
          <w:i/>
        </w:rPr>
        <w:t>See also</w:t>
      </w:r>
      <w:r>
        <w:t xml:space="preserve"> 47 C.F.R. § 14.5(a)(2)(ii).</w:t>
      </w:r>
    </w:p>
  </w:footnote>
  <w:footnote w:id="22">
    <w:p w:rsidR="00632910" w:rsidRDefault="00632910">
      <w:pPr>
        <w:pStyle w:val="FootnoteText"/>
      </w:pPr>
      <w:r>
        <w:rPr>
          <w:rStyle w:val="FootnoteReference"/>
          <w:sz w:val="20"/>
        </w:rPr>
        <w:footnoteRef/>
      </w:r>
      <w:r>
        <w:t xml:space="preserve">  </w:t>
      </w:r>
      <w:r>
        <w:rPr>
          <w:i/>
        </w:rPr>
        <w:t>ACS Report and Order</w:t>
      </w:r>
      <w:r>
        <w:t>, 26 FCC Rcd at 14635, ¶ 185 (footnote omitted).</w:t>
      </w:r>
    </w:p>
  </w:footnote>
  <w:footnote w:id="23">
    <w:p w:rsidR="00632910" w:rsidRDefault="00632910">
      <w:pPr>
        <w:pStyle w:val="FootnoteText"/>
      </w:pPr>
      <w:r>
        <w:rPr>
          <w:rStyle w:val="FootnoteReference"/>
          <w:sz w:val="20"/>
        </w:rPr>
        <w:footnoteRef/>
      </w:r>
      <w:r>
        <w:t xml:space="preserve"> </w:t>
      </w:r>
      <w:r>
        <w:rPr>
          <w:i/>
        </w:rPr>
        <w:t>ACS Report and Order</w:t>
      </w:r>
      <w:r>
        <w:t>, 26 FCC Rcd at 14635, ¶ 183.</w:t>
      </w:r>
    </w:p>
  </w:footnote>
  <w:footnote w:id="24">
    <w:p w:rsidR="00632910" w:rsidRDefault="00632910">
      <w:pPr>
        <w:pStyle w:val="FootnoteText"/>
      </w:pPr>
      <w:r>
        <w:rPr>
          <w:rStyle w:val="FootnoteReference"/>
          <w:sz w:val="20"/>
        </w:rPr>
        <w:footnoteRef/>
      </w:r>
      <w:r>
        <w:t xml:space="preserve"> </w:t>
      </w:r>
      <w:r>
        <w:rPr>
          <w:i/>
        </w:rPr>
        <w:t>ACS Report and Order</w:t>
      </w:r>
      <w:r>
        <w:t>, 26 FCC Rcd at 14636, ¶186.</w:t>
      </w:r>
    </w:p>
  </w:footnote>
  <w:footnote w:id="25">
    <w:p w:rsidR="00632910" w:rsidRDefault="00632910">
      <w:pPr>
        <w:pStyle w:val="FootnoteText"/>
      </w:pPr>
      <w:r>
        <w:rPr>
          <w:rStyle w:val="FootnoteReference"/>
          <w:sz w:val="20"/>
        </w:rPr>
        <w:footnoteRef/>
      </w:r>
      <w:r>
        <w:t xml:space="preserve"> </w:t>
      </w:r>
      <w:r>
        <w:rPr>
          <w:i/>
        </w:rPr>
        <w:t>ACS Report and Order</w:t>
      </w:r>
      <w:r>
        <w:t xml:space="preserve">, 26 FCC Rcd at 14637, ¶ 188, citing  47 C.F.R. § 1.3; </w:t>
      </w:r>
      <w:r>
        <w:rPr>
          <w:i/>
        </w:rPr>
        <w:t>Northeast Cellular Telephone Co., L.P. v. FCC</w:t>
      </w:r>
      <w:r>
        <w:t xml:space="preserve">, 897 F. 2d 1164, 1166 (D.C. Cir. 1990) (citing </w:t>
      </w:r>
      <w:r>
        <w:rPr>
          <w:i/>
        </w:rPr>
        <w:t>WAIT Radio v. FCC</w:t>
      </w:r>
      <w:r>
        <w:t>, 418 F. 2d 1153, 1159 (D.C. Cir. 1969)</w:t>
      </w:r>
      <w:r w:rsidR="0069615F">
        <w:t>)</w:t>
      </w:r>
      <w:r>
        <w:t>.</w:t>
      </w:r>
    </w:p>
  </w:footnote>
  <w:footnote w:id="26">
    <w:p w:rsidR="00632910" w:rsidRDefault="00632910">
      <w:pPr>
        <w:pStyle w:val="FootnoteText"/>
      </w:pPr>
      <w:r>
        <w:rPr>
          <w:rStyle w:val="FootnoteReference"/>
          <w:sz w:val="20"/>
        </w:rPr>
        <w:footnoteRef/>
      </w:r>
      <w:r>
        <w:t xml:space="preserve"> </w:t>
      </w:r>
      <w:r>
        <w:rPr>
          <w:i/>
        </w:rPr>
        <w:t>ACS Report and Order</w:t>
      </w:r>
      <w:r>
        <w:t xml:space="preserve">, 26 FCC Rcd at 14638, ¶ 192.  </w:t>
      </w:r>
      <w:r>
        <w:rPr>
          <w:i/>
        </w:rPr>
        <w:t>See also</w:t>
      </w:r>
      <w:r>
        <w:t xml:space="preserve"> 47 C.F.R. § 14.5(c).</w:t>
      </w:r>
    </w:p>
  </w:footnote>
  <w:footnote w:id="27">
    <w:p w:rsidR="00632910" w:rsidRDefault="00632910">
      <w:pPr>
        <w:pStyle w:val="FootnoteText"/>
      </w:pPr>
      <w:r>
        <w:rPr>
          <w:rStyle w:val="FootnoteReference"/>
          <w:sz w:val="20"/>
        </w:rPr>
        <w:footnoteRef/>
      </w:r>
      <w:r>
        <w:t xml:space="preserve"> </w:t>
      </w:r>
      <w:r>
        <w:rPr>
          <w:i/>
        </w:rPr>
        <w:t>ACS Report and Order</w:t>
      </w:r>
      <w:r>
        <w:t xml:space="preserve">, 26 FCC Rcd at 14639, ¶ 193.  </w:t>
      </w:r>
      <w:r>
        <w:rPr>
          <w:i/>
        </w:rPr>
        <w:t>See also</w:t>
      </w:r>
      <w:r>
        <w:t xml:space="preserve"> 47 C.F.R. § 14.5(b).</w:t>
      </w:r>
    </w:p>
  </w:footnote>
  <w:footnote w:id="28">
    <w:p w:rsidR="00632910" w:rsidRDefault="00632910">
      <w:pPr>
        <w:pStyle w:val="FootnoteText"/>
      </w:pPr>
      <w:r>
        <w:rPr>
          <w:rStyle w:val="FootnoteReference"/>
          <w:sz w:val="20"/>
        </w:rPr>
        <w:footnoteRef/>
      </w:r>
      <w:r>
        <w:t xml:space="preserve"> </w:t>
      </w:r>
      <w:r>
        <w:rPr>
          <w:i/>
        </w:rPr>
        <w:t>ACS Report and Order</w:t>
      </w:r>
      <w:r>
        <w:t xml:space="preserve">, 26 FCC Rcd at 14639, ¶ 194.  </w:t>
      </w:r>
      <w:r>
        <w:rPr>
          <w:i/>
        </w:rPr>
        <w:t>See also</w:t>
      </w:r>
      <w:r>
        <w:t xml:space="preserve"> 47 C.F.R. § 14.5(c)(2).</w:t>
      </w:r>
    </w:p>
  </w:footnote>
  <w:footnote w:id="29">
    <w:p w:rsidR="00632910" w:rsidRDefault="00632910">
      <w:pPr>
        <w:pStyle w:val="FootnoteText"/>
      </w:pPr>
      <w:r>
        <w:rPr>
          <w:rStyle w:val="FootnoteReference"/>
          <w:sz w:val="20"/>
        </w:rPr>
        <w:footnoteRef/>
      </w:r>
      <w:r>
        <w:t xml:space="preserve"> </w:t>
      </w:r>
      <w:r>
        <w:rPr>
          <w:i/>
        </w:rPr>
        <w:t>ACS Report and Order</w:t>
      </w:r>
      <w:r>
        <w:t xml:space="preserve">, 26 FCC Rcd at 14639, ¶ 192.  </w:t>
      </w:r>
      <w:r>
        <w:rPr>
          <w:i/>
        </w:rPr>
        <w:t>See also</w:t>
      </w:r>
      <w:r>
        <w:t xml:space="preserve"> </w:t>
      </w:r>
      <w:r>
        <w:rPr>
          <w:i/>
        </w:rPr>
        <w:t>id</w:t>
      </w:r>
      <w:r>
        <w:t>. at 14609, ¶ 124  (“Natural opportunities to assess or reassess the achievability of accessibility may include, for example, the redesign of a product model or service, new versions of software, upgrades to existing features or functionalities, significant rebundling or unbundling  of product and service packages, or any other significant modification that may require redesign.”).</w:t>
      </w:r>
    </w:p>
  </w:footnote>
  <w:footnote w:id="30">
    <w:p w:rsidR="00632910" w:rsidRDefault="00632910">
      <w:pPr>
        <w:pStyle w:val="FootnoteText"/>
      </w:pPr>
      <w:r>
        <w:rPr>
          <w:rStyle w:val="FootnoteReference"/>
          <w:sz w:val="20"/>
        </w:rPr>
        <w:footnoteRef/>
      </w:r>
      <w:r>
        <w:t xml:space="preserve"> </w:t>
      </w:r>
      <w:r>
        <w:rPr>
          <w:i/>
        </w:rPr>
        <w:t>ACS Report and Order</w:t>
      </w:r>
      <w:r>
        <w:t>, 26 FCC Rcd at 14640, ¶ 195.</w:t>
      </w:r>
    </w:p>
  </w:footnote>
  <w:footnote w:id="31">
    <w:p w:rsidR="00632910" w:rsidRDefault="00632910">
      <w:pPr>
        <w:pStyle w:val="FootnoteText"/>
      </w:pPr>
      <w:r>
        <w:rPr>
          <w:rStyle w:val="FootnoteReference"/>
          <w:sz w:val="20"/>
        </w:rPr>
        <w:footnoteRef/>
      </w:r>
      <w:r>
        <w:t xml:space="preserve"> </w:t>
      </w:r>
      <w:r>
        <w:rPr>
          <w:i/>
        </w:rPr>
        <w:t>ACS Report and Order</w:t>
      </w:r>
      <w:r>
        <w:t xml:space="preserve">, 26 FCC Rcd at 14640, ¶ 194.  </w:t>
      </w:r>
      <w:r>
        <w:rPr>
          <w:i/>
        </w:rPr>
        <w:t>See also</w:t>
      </w:r>
      <w:r>
        <w:t xml:space="preserve"> 47 C.F.R. § 14.5(c)(2).</w:t>
      </w:r>
    </w:p>
  </w:footnote>
  <w:footnote w:id="32">
    <w:p w:rsidR="00896594" w:rsidRPr="00896594" w:rsidRDefault="00896594" w:rsidP="00896594">
      <w:pPr>
        <w:pStyle w:val="FootnoteText"/>
      </w:pPr>
      <w:r>
        <w:rPr>
          <w:rStyle w:val="FootnoteReference"/>
        </w:rPr>
        <w:footnoteRef/>
      </w:r>
      <w:r>
        <w:t xml:space="preserve"> </w:t>
      </w:r>
      <w:r w:rsidRPr="002173A8">
        <w:rPr>
          <w:i/>
        </w:rPr>
        <w:t xml:space="preserve">See </w:t>
      </w:r>
      <w:r>
        <w:t xml:space="preserve">¶ 1, </w:t>
      </w:r>
      <w:r w:rsidRPr="002173A8">
        <w:rPr>
          <w:i/>
        </w:rPr>
        <w:t>supra</w:t>
      </w:r>
      <w:r>
        <w:rPr>
          <w:i/>
        </w:rPr>
        <w:t xml:space="preserve"> </w:t>
      </w:r>
      <w:r w:rsidRPr="00896594">
        <w:t>for a description of the class of the requested waiver.</w:t>
      </w:r>
    </w:p>
  </w:footnote>
  <w:footnote w:id="33">
    <w:p w:rsidR="00B650C3" w:rsidRDefault="00B650C3">
      <w:pPr>
        <w:pStyle w:val="FootnoteText"/>
      </w:pPr>
      <w:r>
        <w:rPr>
          <w:rStyle w:val="FootnoteReference"/>
        </w:rPr>
        <w:footnoteRef/>
      </w:r>
      <w:r>
        <w:t xml:space="preserve"> </w:t>
      </w:r>
      <w:r w:rsidR="00EE4BCF">
        <w:t>Coalition Petition at 1-8.</w:t>
      </w:r>
    </w:p>
  </w:footnote>
  <w:footnote w:id="34">
    <w:p w:rsidR="00C46527" w:rsidRDefault="00C46527">
      <w:pPr>
        <w:pStyle w:val="FootnoteText"/>
      </w:pPr>
      <w:r>
        <w:rPr>
          <w:rStyle w:val="FootnoteReference"/>
        </w:rPr>
        <w:footnoteRef/>
      </w:r>
      <w:r>
        <w:t xml:space="preserve"> Coalition Petition at 7.</w:t>
      </w:r>
    </w:p>
  </w:footnote>
  <w:footnote w:id="35">
    <w:p w:rsidR="00C46527" w:rsidRDefault="00C46527">
      <w:pPr>
        <w:pStyle w:val="FootnoteText"/>
      </w:pPr>
      <w:r>
        <w:rPr>
          <w:rStyle w:val="FootnoteReference"/>
        </w:rPr>
        <w:footnoteRef/>
      </w:r>
      <w:r>
        <w:t xml:space="preserve"> Coalition Petition at 3-6.</w:t>
      </w:r>
    </w:p>
  </w:footnote>
  <w:footnote w:id="36">
    <w:p w:rsidR="00C46527" w:rsidRDefault="00C46527">
      <w:pPr>
        <w:pStyle w:val="FootnoteText"/>
      </w:pPr>
      <w:r>
        <w:rPr>
          <w:rStyle w:val="FootnoteReference"/>
        </w:rPr>
        <w:footnoteRef/>
      </w:r>
      <w:r>
        <w:t xml:space="preserve"> Coalition Petition at 6-8.</w:t>
      </w:r>
    </w:p>
  </w:footnote>
  <w:footnote w:id="37">
    <w:p w:rsidR="00B650C3" w:rsidRDefault="00B650C3" w:rsidP="00B650C3">
      <w:pPr>
        <w:pStyle w:val="FootnoteText"/>
      </w:pPr>
      <w:r>
        <w:rPr>
          <w:rStyle w:val="FootnoteReference"/>
          <w:sz w:val="20"/>
        </w:rPr>
        <w:footnoteRef/>
      </w:r>
      <w:r>
        <w:t xml:space="preserve"> Coalition Petition at 1-</w:t>
      </w:r>
      <w:r w:rsidR="00EE4BCF">
        <w:t>8</w:t>
      </w:r>
      <w:r>
        <w:t xml:space="preserve">; Coalition </w:t>
      </w:r>
      <w:r>
        <w:rPr>
          <w:i/>
        </w:rPr>
        <w:t>Ex Parte</w:t>
      </w:r>
      <w:r>
        <w:t xml:space="preserve"> Submission (July 10, 2013) at 1-2 (Coalition July 10, 2013 </w:t>
      </w:r>
      <w:r>
        <w:rPr>
          <w:i/>
        </w:rPr>
        <w:t>Ex Parte</w:t>
      </w:r>
      <w:r>
        <w:t xml:space="preserve">); Coalition </w:t>
      </w:r>
      <w:r>
        <w:rPr>
          <w:i/>
        </w:rPr>
        <w:t>Ex Parte</w:t>
      </w:r>
      <w:r>
        <w:t xml:space="preserve"> Submission (July 15, 2013) at 1 (Coalition July 15, 2013 </w:t>
      </w:r>
      <w:r>
        <w:rPr>
          <w:i/>
        </w:rPr>
        <w:t>Ex Parte</w:t>
      </w:r>
      <w:r>
        <w:t>); Coalition Petition Supplement at 1-2.</w:t>
      </w:r>
    </w:p>
  </w:footnote>
  <w:footnote w:id="38">
    <w:p w:rsidR="00EE1F2C" w:rsidRDefault="00EE1F2C" w:rsidP="00EE1F2C">
      <w:pPr>
        <w:pStyle w:val="FootnoteText"/>
      </w:pPr>
      <w:r>
        <w:rPr>
          <w:rStyle w:val="FootnoteReference"/>
          <w:sz w:val="20"/>
        </w:rPr>
        <w:footnoteRef/>
      </w:r>
      <w:r>
        <w:t xml:space="preserve"> 47 U.S.C. § 617(h)(1)(A) and (B).</w:t>
      </w:r>
    </w:p>
  </w:footnote>
  <w:footnote w:id="39">
    <w:p w:rsidR="00EE1F2C" w:rsidRDefault="00EE1F2C" w:rsidP="00EE1F2C">
      <w:pPr>
        <w:pStyle w:val="FootnoteText"/>
      </w:pPr>
      <w:r>
        <w:rPr>
          <w:rStyle w:val="FootnoteReference"/>
          <w:sz w:val="20"/>
        </w:rPr>
        <w:footnoteRef/>
      </w:r>
      <w:r>
        <w:t xml:space="preserve"> 47 C.F.R. § 14.5(a).</w:t>
      </w:r>
    </w:p>
  </w:footnote>
  <w:footnote w:id="40">
    <w:p w:rsidR="00632910" w:rsidRDefault="00632910">
      <w:pPr>
        <w:pStyle w:val="FootnoteText"/>
        <w:rPr>
          <w:i/>
        </w:rPr>
      </w:pPr>
      <w:r>
        <w:rPr>
          <w:rStyle w:val="FootnoteReference"/>
          <w:sz w:val="20"/>
        </w:rPr>
        <w:footnoteRef/>
      </w:r>
      <w:r>
        <w:t xml:space="preserve"> </w:t>
      </w:r>
      <w:r w:rsidR="006A5365">
        <w:rPr>
          <w:i/>
        </w:rPr>
        <w:t>See</w:t>
      </w:r>
      <w:r w:rsidR="006A5365">
        <w:t xml:space="preserve"> Coalition Petition Supplement at 1-2, setting forth the definition of the proposed class.  </w:t>
      </w:r>
      <w:r>
        <w:rPr>
          <w:i/>
        </w:rPr>
        <w:t xml:space="preserve">See </w:t>
      </w:r>
      <w:r w:rsidR="006A5365">
        <w:rPr>
          <w:i/>
        </w:rPr>
        <w:t xml:space="preserve">also </w:t>
      </w:r>
      <w:r>
        <w:t xml:space="preserve">47 C.F.R. § 14.5(b); </w:t>
      </w:r>
      <w:r>
        <w:rPr>
          <w:i/>
        </w:rPr>
        <w:t>ACS Report and Order</w:t>
      </w:r>
      <w:r>
        <w:t>, 26 FCC Rcd at 14639, ¶ 193</w:t>
      </w:r>
      <w:r w:rsidR="006A5365">
        <w:t>, for the elements required for class waiver</w:t>
      </w:r>
      <w:r>
        <w:t xml:space="preserve">.  </w:t>
      </w:r>
    </w:p>
  </w:footnote>
  <w:footnote w:id="41">
    <w:p w:rsidR="006A5365" w:rsidRDefault="006A5365">
      <w:pPr>
        <w:pStyle w:val="FootnoteText"/>
      </w:pPr>
      <w:r>
        <w:rPr>
          <w:rStyle w:val="FootnoteReference"/>
        </w:rPr>
        <w:footnoteRef/>
      </w:r>
      <w:r>
        <w:t xml:space="preserve"> Coalition Petition at 1-8.</w:t>
      </w:r>
    </w:p>
  </w:footnote>
  <w:footnote w:id="42">
    <w:p w:rsidR="000C1828" w:rsidRDefault="000C1828" w:rsidP="000C1828">
      <w:pPr>
        <w:pStyle w:val="FootnoteText"/>
      </w:pPr>
      <w:r>
        <w:rPr>
          <w:rStyle w:val="FootnoteReference"/>
          <w:sz w:val="20"/>
        </w:rPr>
        <w:footnoteRef/>
      </w:r>
      <w:r>
        <w:rPr>
          <w:szCs w:val="22"/>
        </w:rPr>
        <w:t xml:space="preserve"> </w:t>
      </w:r>
      <w:r>
        <w:rPr>
          <w:i/>
        </w:rPr>
        <w:t>ACS Report and Order</w:t>
      </w:r>
      <w:r>
        <w:t xml:space="preserve">, 26 FCC Rcd at 14637, ¶ 188, citing  47 C.F.R. § 1.3; </w:t>
      </w:r>
      <w:r>
        <w:rPr>
          <w:i/>
        </w:rPr>
        <w:t>Northeast Cellular Telephone Co., L.P. v. FCC</w:t>
      </w:r>
      <w:r>
        <w:t xml:space="preserve">, 897 F. 2d 1164, 1166 (D.C. Cir. 1990) (citing </w:t>
      </w:r>
      <w:r>
        <w:rPr>
          <w:i/>
        </w:rPr>
        <w:t>WAIT Radio v. FCC</w:t>
      </w:r>
      <w:r>
        <w:t>, 418 F. 2d 1153, 1159 (D.C. Cir. 1969).</w:t>
      </w:r>
    </w:p>
  </w:footnote>
  <w:footnote w:id="43">
    <w:p w:rsidR="00443B33" w:rsidRDefault="00443B33">
      <w:pPr>
        <w:pStyle w:val="FootnoteText"/>
      </w:pPr>
      <w:r>
        <w:rPr>
          <w:rStyle w:val="FootnoteReference"/>
        </w:rPr>
        <w:footnoteRef/>
      </w:r>
      <w:r>
        <w:t xml:space="preserve"> Coalition Petition at 8-12.</w:t>
      </w:r>
    </w:p>
  </w:footnote>
  <w:footnote w:id="44">
    <w:p w:rsidR="003A34D0" w:rsidRDefault="003A34D0">
      <w:pPr>
        <w:pStyle w:val="FootnoteText"/>
      </w:pPr>
      <w:r>
        <w:rPr>
          <w:rStyle w:val="FootnoteReference"/>
        </w:rPr>
        <w:footnoteRef/>
      </w:r>
      <w:r>
        <w:t xml:space="preserve"> Coalition Petition at 8-12.</w:t>
      </w:r>
    </w:p>
  </w:footnote>
  <w:footnote w:id="45">
    <w:p w:rsidR="00006C28" w:rsidRDefault="00006C28">
      <w:pPr>
        <w:pStyle w:val="FootnoteText"/>
      </w:pPr>
      <w:r>
        <w:rPr>
          <w:rStyle w:val="FootnoteReference"/>
        </w:rPr>
        <w:footnoteRef/>
      </w:r>
      <w:r>
        <w:t xml:space="preserve"> </w:t>
      </w:r>
      <w:r>
        <w:rPr>
          <w:i/>
        </w:rPr>
        <w:t>See, e.g.</w:t>
      </w:r>
      <w:r>
        <w:t xml:space="preserve">, </w:t>
      </w:r>
      <w:r w:rsidR="00710F1F">
        <w:t xml:space="preserve">National Federation of the Blind, </w:t>
      </w:r>
      <w:r w:rsidR="00710F1F" w:rsidRPr="002173A8">
        <w:rPr>
          <w:i/>
        </w:rPr>
        <w:t>et al.</w:t>
      </w:r>
      <w:r w:rsidR="00710F1F">
        <w:t>,</w:t>
      </w:r>
      <w:r w:rsidR="00826471">
        <w:t xml:space="preserve"> </w:t>
      </w:r>
      <w:r w:rsidR="00710F1F">
        <w:t>Opposition to Petition for Waiver by Coalition of E-Reader Manufacturers (Sept. 3, 2013)</w:t>
      </w:r>
      <w:r w:rsidR="006C4C6A">
        <w:t xml:space="preserve"> (comment by a coalition of twenty-three consumer organizations opposing the Petition)</w:t>
      </w:r>
      <w:r w:rsidR="00826471">
        <w:t xml:space="preserve"> (NFB</w:t>
      </w:r>
      <w:r w:rsidR="00DF5D19">
        <w:t xml:space="preserve"> Coalit</w:t>
      </w:r>
      <w:r w:rsidR="00EB5B96">
        <w:t>i</w:t>
      </w:r>
      <w:r w:rsidR="00DF5D19">
        <w:t>on</w:t>
      </w:r>
      <w:r w:rsidR="00826471">
        <w:t xml:space="preserve"> Comments)</w:t>
      </w:r>
      <w:r w:rsidR="00710F1F">
        <w:t xml:space="preserve">; American Library Association Comment on the Petition for Class Waiver of Commission’s Rules for Access to Advanced Communications Services and Equipment by People with Disabilities (Sept. 3, 2013).   </w:t>
      </w:r>
      <w:r>
        <w:t>In addition</w:t>
      </w:r>
      <w:r w:rsidR="003045BD">
        <w:t xml:space="preserve"> other organizations and</w:t>
      </w:r>
      <w:r w:rsidR="00BF08E8">
        <w:t xml:space="preserve"> almost 150 </w:t>
      </w:r>
      <w:r>
        <w:t>individual consumers filed objections to a grant of the Petition.</w:t>
      </w:r>
    </w:p>
  </w:footnote>
  <w:footnote w:id="46">
    <w:p w:rsidR="00BF08E8" w:rsidRPr="00BF08E8" w:rsidRDefault="00BF08E8" w:rsidP="00BF08E8">
      <w:pPr>
        <w:pStyle w:val="FootnoteText"/>
      </w:pPr>
      <w:r>
        <w:rPr>
          <w:rStyle w:val="FootnoteReference"/>
        </w:rPr>
        <w:footnoteRef/>
      </w:r>
      <w:r>
        <w:t xml:space="preserve"> </w:t>
      </w:r>
      <w:r>
        <w:rPr>
          <w:i/>
        </w:rPr>
        <w:t>See, e.g.,</w:t>
      </w:r>
      <w:r>
        <w:t xml:space="preserve"> </w:t>
      </w:r>
      <w:r w:rsidR="00826471">
        <w:t>NFB</w:t>
      </w:r>
      <w:r w:rsidR="00DF5D19">
        <w:t xml:space="preserve"> Coalition</w:t>
      </w:r>
      <w:r>
        <w:t xml:space="preserve"> Comment</w:t>
      </w:r>
      <w:r w:rsidR="00826471">
        <w:t>s</w:t>
      </w:r>
      <w:r>
        <w:t xml:space="preserve"> at 4-12.</w:t>
      </w:r>
    </w:p>
  </w:footnote>
  <w:footnote w:id="47">
    <w:p w:rsidR="00DF5D19" w:rsidRPr="004C6B57" w:rsidRDefault="00DF5D19">
      <w:pPr>
        <w:pStyle w:val="FootnoteText"/>
      </w:pPr>
      <w:r>
        <w:rPr>
          <w:rStyle w:val="FootnoteReference"/>
        </w:rPr>
        <w:footnoteRef/>
      </w:r>
      <w:r>
        <w:t xml:space="preserve"> NFB </w:t>
      </w:r>
      <w:r w:rsidR="001544EA">
        <w:t>Coalition</w:t>
      </w:r>
      <w:r>
        <w:t xml:space="preserve"> Comments at 9.</w:t>
      </w:r>
      <w:r w:rsidR="004C6B57">
        <w:t xml:space="preserve">  </w:t>
      </w:r>
      <w:r w:rsidR="004C6B57">
        <w:rPr>
          <w:i/>
        </w:rPr>
        <w:t>See also</w:t>
      </w:r>
      <w:r w:rsidR="004C6B57">
        <w:t xml:space="preserve"> NFB Coalition Comments at 11 (discussing ability to use Kindle Paperwhite to share highlighted sections, notes and meaningful quotes).</w:t>
      </w:r>
    </w:p>
  </w:footnote>
  <w:footnote w:id="48">
    <w:p w:rsidR="004E58D2" w:rsidRPr="004E58D2" w:rsidRDefault="004E58D2">
      <w:pPr>
        <w:pStyle w:val="FootnoteText"/>
      </w:pPr>
      <w:r>
        <w:rPr>
          <w:rStyle w:val="FootnoteReference"/>
        </w:rPr>
        <w:footnoteRef/>
      </w:r>
      <w:r>
        <w:t xml:space="preserve"> </w:t>
      </w:r>
      <w:r>
        <w:rPr>
          <w:i/>
        </w:rPr>
        <w:t>ACS Report and Order</w:t>
      </w:r>
      <w:r>
        <w:t>, 26 FCC Rcd at 14639, ¶ 192.</w:t>
      </w:r>
    </w:p>
  </w:footnote>
  <w:footnote w:id="49">
    <w:p w:rsidR="004E58D2" w:rsidRDefault="004E58D2">
      <w:pPr>
        <w:pStyle w:val="FootnoteText"/>
      </w:pPr>
      <w:r>
        <w:rPr>
          <w:rStyle w:val="FootnoteReference"/>
        </w:rPr>
        <w:footnoteRef/>
      </w:r>
      <w:r>
        <w:t xml:space="preserve"> NFB Coalition Comments at 12-13.</w:t>
      </w:r>
    </w:p>
  </w:footnote>
  <w:footnote w:id="50">
    <w:p w:rsidR="00BF08E8" w:rsidRDefault="00BF08E8">
      <w:pPr>
        <w:pStyle w:val="FootnoteText"/>
      </w:pPr>
      <w:r>
        <w:rPr>
          <w:rStyle w:val="FootnoteReference"/>
        </w:rPr>
        <w:footnoteRef/>
      </w:r>
      <w:r>
        <w:t xml:space="preserve"> </w:t>
      </w:r>
      <w:r>
        <w:rPr>
          <w:i/>
        </w:rPr>
        <w:t>See</w:t>
      </w:r>
      <w:r>
        <w:t xml:space="preserve"> </w:t>
      </w:r>
      <w:r w:rsidR="00826471">
        <w:t>NFB</w:t>
      </w:r>
      <w:r w:rsidR="00DF5D19">
        <w:t xml:space="preserve"> Coalition</w:t>
      </w:r>
      <w:r>
        <w:t xml:space="preserve"> Comment</w:t>
      </w:r>
      <w:r w:rsidR="00826471">
        <w:t>s</w:t>
      </w:r>
      <w:r>
        <w:t xml:space="preserve"> at 14-20.</w:t>
      </w:r>
    </w:p>
  </w:footnote>
  <w:footnote w:id="51">
    <w:p w:rsidR="00193A14" w:rsidRDefault="00193A14">
      <w:pPr>
        <w:pStyle w:val="FootnoteText"/>
      </w:pPr>
      <w:r>
        <w:rPr>
          <w:rStyle w:val="FootnoteReference"/>
        </w:rPr>
        <w:footnoteRef/>
      </w:r>
      <w:r>
        <w:t xml:space="preserve"> </w:t>
      </w:r>
      <w:r w:rsidRPr="008E7C88">
        <w:rPr>
          <w:i/>
          <w:szCs w:val="22"/>
        </w:rPr>
        <w:t>See</w:t>
      </w:r>
      <w:r>
        <w:rPr>
          <w:szCs w:val="22"/>
        </w:rPr>
        <w:t xml:space="preserve"> </w:t>
      </w:r>
      <w:r w:rsidRPr="005E49E9">
        <w:t>47 C.F.R. 14.</w:t>
      </w:r>
      <w:r>
        <w:t xml:space="preserve">20 and 14.21; </w:t>
      </w:r>
      <w:r>
        <w:rPr>
          <w:i/>
        </w:rPr>
        <w:t>ACS Report and Order</w:t>
      </w:r>
      <w:r>
        <w:t>, 26 FCC Rcd at 14602-14604, ¶¶ 110-111</w:t>
      </w:r>
      <w:r w:rsidRPr="005E49E9">
        <w:t>.</w:t>
      </w:r>
    </w:p>
  </w:footnote>
  <w:footnote w:id="52">
    <w:p w:rsidR="006C6867" w:rsidRPr="00B737E1" w:rsidRDefault="006C6867" w:rsidP="006C6867">
      <w:pPr>
        <w:pStyle w:val="FootnoteText"/>
      </w:pPr>
      <w:r>
        <w:rPr>
          <w:rStyle w:val="FootnoteReference"/>
        </w:rPr>
        <w:footnoteRef/>
      </w:r>
      <w:r>
        <w:t xml:space="preserve"> </w:t>
      </w:r>
      <w:r>
        <w:rPr>
          <w:i/>
        </w:rPr>
        <w:t xml:space="preserve">ACS Report and Order, </w:t>
      </w:r>
      <w:r>
        <w:t>26 FCC Rcd at 14641, ¶ 197.</w:t>
      </w:r>
    </w:p>
  </w:footnote>
  <w:footnote w:id="53">
    <w:p w:rsidR="00B737E1" w:rsidRPr="0060435F" w:rsidRDefault="00B737E1" w:rsidP="00B737E1">
      <w:pPr>
        <w:pStyle w:val="FootnoteText"/>
      </w:pPr>
      <w:r>
        <w:rPr>
          <w:rStyle w:val="FootnoteReference"/>
        </w:rPr>
        <w:footnoteRef/>
      </w:r>
      <w:r>
        <w:t xml:space="preserve"> 47 C.F.R. §§ 14.20</w:t>
      </w:r>
      <w:r w:rsidR="00A04BA5">
        <w:t xml:space="preserve"> and</w:t>
      </w:r>
      <w:r>
        <w:t xml:space="preserve"> 14.21.  </w:t>
      </w:r>
      <w:r w:rsidR="0060435F">
        <w:t>Although grant of a</w:t>
      </w:r>
      <w:r>
        <w:t xml:space="preserve"> waiver</w:t>
      </w:r>
      <w:r w:rsidR="00525C87">
        <w:t xml:space="preserve"> pursuant to 47 C.F.R. § 14.5</w:t>
      </w:r>
      <w:r>
        <w:t xml:space="preserve"> </w:t>
      </w:r>
      <w:r w:rsidR="0060435F">
        <w:t>would ordinarily</w:t>
      </w:r>
      <w:r>
        <w:t xml:space="preserve"> include</w:t>
      </w:r>
      <w:r w:rsidR="00A04BA5">
        <w:t xml:space="preserve"> a waiver of the recordkeeping requirements of 47 C.F.R. § 14.31 and</w:t>
      </w:r>
      <w:r>
        <w:t xml:space="preserve"> a waiver of the obligation to conduct an achievability analysis during the period of the waiver</w:t>
      </w:r>
      <w:r w:rsidR="0060435F">
        <w:t>,</w:t>
      </w:r>
      <w:r>
        <w:t xml:space="preserve"> </w:t>
      </w:r>
      <w:r w:rsidR="0060435F">
        <w:rPr>
          <w:i/>
        </w:rPr>
        <w:t>s</w:t>
      </w:r>
      <w:r>
        <w:rPr>
          <w:i/>
        </w:rPr>
        <w:t>ee ACS Report and Order</w:t>
      </w:r>
      <w:r>
        <w:t>, 27 FCC Rcd at 14607-14619, ¶¶ 119-148</w:t>
      </w:r>
      <w:r w:rsidR="0060435F">
        <w:t xml:space="preserve">, </w:t>
      </w:r>
      <w:r w:rsidR="001544EA">
        <w:t>the achievability analysis requirement has been in effect since the rules first took effect on January 3</w:t>
      </w:r>
      <w:r w:rsidR="003045BD">
        <w:t>0</w:t>
      </w:r>
      <w:r w:rsidR="001544EA">
        <w:t>, 2012 and the recordkeeping requirements have been in effect since January 3</w:t>
      </w:r>
      <w:r w:rsidR="003045BD">
        <w:t>0</w:t>
      </w:r>
      <w:r w:rsidR="001544EA">
        <w:t xml:space="preserve">, 2013.  </w:t>
      </w:r>
      <w:r w:rsidR="001544EA">
        <w:rPr>
          <w:i/>
        </w:rPr>
        <w:t>See ACS Report and Order</w:t>
      </w:r>
      <w:r w:rsidR="001544EA">
        <w:t>, 26 FCC Rcd at 14601-14602, ¶¶ 107-109.   B</w:t>
      </w:r>
      <w:r w:rsidR="0060435F">
        <w:t>ecause in this case the waiver is</w:t>
      </w:r>
      <w:r w:rsidR="00525C87">
        <w:t xml:space="preserve"> a</w:t>
      </w:r>
      <w:r w:rsidR="0060435F">
        <w:t xml:space="preserve"> temporary</w:t>
      </w:r>
      <w:r w:rsidR="00525C87">
        <w:t xml:space="preserve"> waiver granted pursuant to 47 C.F.R. § 1.3 and is not a waiver granted pursuant to 47 C.F.R. § 14.5</w:t>
      </w:r>
      <w:r w:rsidR="0060435F">
        <w:t xml:space="preserve">, </w:t>
      </w:r>
      <w:r w:rsidR="001544EA">
        <w:t xml:space="preserve">and </w:t>
      </w:r>
      <w:r w:rsidR="0060435F">
        <w:t xml:space="preserve">manufacturers of e-readers </w:t>
      </w:r>
      <w:r w:rsidR="0038461D">
        <w:t xml:space="preserve">have been </w:t>
      </w:r>
      <w:r w:rsidR="0060435F">
        <w:t>required to take accessibility into consideration during the design phase</w:t>
      </w:r>
      <w:r w:rsidR="00A56557">
        <w:t xml:space="preserve"> and to </w:t>
      </w:r>
      <w:r w:rsidR="0038461D">
        <w:t>comply with the recordkeeping requirement</w:t>
      </w:r>
      <w:r w:rsidR="001544EA">
        <w:t>s</w:t>
      </w:r>
      <w:r w:rsidR="0038461D">
        <w:t xml:space="preserve"> </w:t>
      </w:r>
      <w:r w:rsidR="0060435F">
        <w:t>since the</w:t>
      </w:r>
      <w:r w:rsidR="00A56557">
        <w:t xml:space="preserve"> applicable</w:t>
      </w:r>
      <w:r w:rsidR="0060435F">
        <w:t xml:space="preserve"> effective date</w:t>
      </w:r>
      <w:r w:rsidR="00A56557">
        <w:t>s</w:t>
      </w:r>
      <w:r w:rsidR="0060435F">
        <w:t>,</w:t>
      </w:r>
      <w:r w:rsidR="0038461D">
        <w:t xml:space="preserve"> we will</w:t>
      </w:r>
      <w:r w:rsidR="0060435F">
        <w:t xml:space="preserve"> requir</w:t>
      </w:r>
      <w:r w:rsidR="0038461D">
        <w:t>e</w:t>
      </w:r>
      <w:r w:rsidR="0060435F">
        <w:t xml:space="preserve"> such manufacturers to continue to </w:t>
      </w:r>
      <w:r w:rsidR="0038461D">
        <w:t>meet these obligations during the waiver period.</w:t>
      </w:r>
    </w:p>
  </w:footnote>
  <w:footnote w:id="54">
    <w:p w:rsidR="00064FD7" w:rsidRDefault="00064FD7" w:rsidP="00064FD7">
      <w:pPr>
        <w:pStyle w:val="FootnoteText"/>
      </w:pPr>
      <w:r>
        <w:rPr>
          <w:rStyle w:val="FootnoteReference"/>
        </w:rPr>
        <w:footnoteRef/>
      </w:r>
      <w:r>
        <w:t xml:space="preserve"> </w:t>
      </w:r>
      <w:r w:rsidRPr="0038461D">
        <w:rPr>
          <w:i/>
        </w:rPr>
        <w:t>See</w:t>
      </w:r>
      <w:r>
        <w:t xml:space="preserve"> ¶</w:t>
      </w:r>
      <w:r w:rsidR="00A84F1C">
        <w:t xml:space="preserve"> </w:t>
      </w:r>
      <w:r>
        <w:t xml:space="preserve">1, </w:t>
      </w:r>
      <w:r w:rsidRPr="0038461D">
        <w:rPr>
          <w:i/>
        </w:rPr>
        <w:t>supra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AF" w:rsidRDefault="00647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10" w:rsidRDefault="00632910">
    <w:pPr>
      <w:pStyle w:val="Header"/>
      <w:pBdr>
        <w:bottom w:val="single" w:sz="12" w:space="1" w:color="auto"/>
      </w:pBdr>
      <w:rPr>
        <w:b w:val="0"/>
      </w:rPr>
    </w:pPr>
    <w:r>
      <w:tab/>
      <w:t>Federal Communications Commission</w:t>
    </w:r>
    <w:r>
      <w:tab/>
      <w:t xml:space="preserve">DA </w:t>
    </w:r>
    <w:r w:rsidR="004569EF">
      <w:t>13-2039</w:t>
    </w:r>
  </w:p>
  <w:p w:rsidR="00632910" w:rsidRDefault="00812D2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2910" w:rsidRDefault="00632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632910" w:rsidRDefault="00632910"/>
                </w:txbxContent>
              </v:textbox>
              <w10:wrap anchorx="margin"/>
            </v:rect>
          </w:pict>
        </mc:Fallback>
      </mc:AlternateContent>
    </w:r>
  </w:p>
  <w:p w:rsidR="00632910" w:rsidRDefault="0063291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10" w:rsidRDefault="00632910">
    <w:pPr>
      <w:pStyle w:val="Header"/>
      <w:pBdr>
        <w:bottom w:val="single" w:sz="12" w:space="1" w:color="auto"/>
      </w:pBdr>
      <w:rPr>
        <w:b w:val="0"/>
      </w:rPr>
    </w:pPr>
    <w:r>
      <w:tab/>
      <w:t>Federal Communications Commission</w:t>
    </w:r>
    <w:r>
      <w:tab/>
    </w:r>
    <w:r>
      <w:rPr>
        <w:spacing w:val="-2"/>
      </w:rPr>
      <w:t xml:space="preserve">DA </w:t>
    </w:r>
    <w:r w:rsidR="00C15E9C">
      <w:rPr>
        <w:spacing w:val="-2"/>
      </w:rPr>
      <w:t>13-</w:t>
    </w:r>
    <w:r w:rsidR="0039618D">
      <w:rPr>
        <w:spacing w:val="-2"/>
      </w:rPr>
      <w:t>2039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CAA60A6"/>
    <w:multiLevelType w:val="hybridMultilevel"/>
    <w:tmpl w:val="0C463004"/>
    <w:lvl w:ilvl="0" w:tplc="1C84704A">
      <w:start w:val="1"/>
      <w:numFmt w:val="bullet"/>
      <w:lvlText w:val=""/>
      <w:lvlJc w:val="left"/>
      <w:pPr>
        <w:tabs>
          <w:tab w:val="num" w:pos="1560"/>
        </w:tabs>
        <w:ind w:left="1560" w:hanging="360"/>
      </w:pPr>
      <w:rPr>
        <w:rFonts w:ascii="Symbol" w:hAnsi="Symbol" w:hint="default"/>
      </w:rPr>
    </w:lvl>
    <w:lvl w:ilvl="1" w:tplc="44B2D444" w:tentative="1">
      <w:start w:val="1"/>
      <w:numFmt w:val="bullet"/>
      <w:lvlText w:val="o"/>
      <w:lvlJc w:val="left"/>
      <w:pPr>
        <w:tabs>
          <w:tab w:val="num" w:pos="2280"/>
        </w:tabs>
        <w:ind w:left="2280" w:hanging="360"/>
      </w:pPr>
      <w:rPr>
        <w:rFonts w:ascii="Courier New" w:hAnsi="Courier New" w:cs="Courier New" w:hint="default"/>
      </w:rPr>
    </w:lvl>
    <w:lvl w:ilvl="2" w:tplc="D9868658" w:tentative="1">
      <w:start w:val="1"/>
      <w:numFmt w:val="bullet"/>
      <w:lvlText w:val=""/>
      <w:lvlJc w:val="left"/>
      <w:pPr>
        <w:tabs>
          <w:tab w:val="num" w:pos="3000"/>
        </w:tabs>
        <w:ind w:left="3000" w:hanging="360"/>
      </w:pPr>
      <w:rPr>
        <w:rFonts w:ascii="Wingdings" w:hAnsi="Wingdings" w:hint="default"/>
      </w:rPr>
    </w:lvl>
    <w:lvl w:ilvl="3" w:tplc="7D8C035C" w:tentative="1">
      <w:start w:val="1"/>
      <w:numFmt w:val="bullet"/>
      <w:lvlText w:val=""/>
      <w:lvlJc w:val="left"/>
      <w:pPr>
        <w:tabs>
          <w:tab w:val="num" w:pos="3720"/>
        </w:tabs>
        <w:ind w:left="3720" w:hanging="360"/>
      </w:pPr>
      <w:rPr>
        <w:rFonts w:ascii="Symbol" w:hAnsi="Symbol" w:hint="default"/>
      </w:rPr>
    </w:lvl>
    <w:lvl w:ilvl="4" w:tplc="1C98388C" w:tentative="1">
      <w:start w:val="1"/>
      <w:numFmt w:val="bullet"/>
      <w:lvlText w:val="o"/>
      <w:lvlJc w:val="left"/>
      <w:pPr>
        <w:tabs>
          <w:tab w:val="num" w:pos="4440"/>
        </w:tabs>
        <w:ind w:left="4440" w:hanging="360"/>
      </w:pPr>
      <w:rPr>
        <w:rFonts w:ascii="Courier New" w:hAnsi="Courier New" w:cs="Courier New" w:hint="default"/>
      </w:rPr>
    </w:lvl>
    <w:lvl w:ilvl="5" w:tplc="A954757C" w:tentative="1">
      <w:start w:val="1"/>
      <w:numFmt w:val="bullet"/>
      <w:lvlText w:val=""/>
      <w:lvlJc w:val="left"/>
      <w:pPr>
        <w:tabs>
          <w:tab w:val="num" w:pos="5160"/>
        </w:tabs>
        <w:ind w:left="5160" w:hanging="360"/>
      </w:pPr>
      <w:rPr>
        <w:rFonts w:ascii="Wingdings" w:hAnsi="Wingdings" w:hint="default"/>
      </w:rPr>
    </w:lvl>
    <w:lvl w:ilvl="6" w:tplc="922643BE" w:tentative="1">
      <w:start w:val="1"/>
      <w:numFmt w:val="bullet"/>
      <w:lvlText w:val=""/>
      <w:lvlJc w:val="left"/>
      <w:pPr>
        <w:tabs>
          <w:tab w:val="num" w:pos="5880"/>
        </w:tabs>
        <w:ind w:left="5880" w:hanging="360"/>
      </w:pPr>
      <w:rPr>
        <w:rFonts w:ascii="Symbol" w:hAnsi="Symbol" w:hint="default"/>
      </w:rPr>
    </w:lvl>
    <w:lvl w:ilvl="7" w:tplc="6464E1D0" w:tentative="1">
      <w:start w:val="1"/>
      <w:numFmt w:val="bullet"/>
      <w:lvlText w:val="o"/>
      <w:lvlJc w:val="left"/>
      <w:pPr>
        <w:tabs>
          <w:tab w:val="num" w:pos="6600"/>
        </w:tabs>
        <w:ind w:left="6600" w:hanging="360"/>
      </w:pPr>
      <w:rPr>
        <w:rFonts w:ascii="Courier New" w:hAnsi="Courier New" w:cs="Courier New" w:hint="default"/>
      </w:rPr>
    </w:lvl>
    <w:lvl w:ilvl="8" w:tplc="AA7CC6B4" w:tentative="1">
      <w:start w:val="1"/>
      <w:numFmt w:val="bullet"/>
      <w:lvlText w:val=""/>
      <w:lvlJc w:val="left"/>
      <w:pPr>
        <w:tabs>
          <w:tab w:val="num" w:pos="7320"/>
        </w:tabs>
        <w:ind w:left="73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10"/>
    <w:rsid w:val="00006C28"/>
    <w:rsid w:val="000141F1"/>
    <w:rsid w:val="00020761"/>
    <w:rsid w:val="00064FD7"/>
    <w:rsid w:val="00066CF3"/>
    <w:rsid w:val="0006753F"/>
    <w:rsid w:val="00071E60"/>
    <w:rsid w:val="000A7180"/>
    <w:rsid w:val="000B21A0"/>
    <w:rsid w:val="000B5E78"/>
    <w:rsid w:val="000C1828"/>
    <w:rsid w:val="000C6098"/>
    <w:rsid w:val="000D78EE"/>
    <w:rsid w:val="000E2DD0"/>
    <w:rsid w:val="00106A26"/>
    <w:rsid w:val="00115817"/>
    <w:rsid w:val="00124EE0"/>
    <w:rsid w:val="001327F7"/>
    <w:rsid w:val="00143209"/>
    <w:rsid w:val="00152756"/>
    <w:rsid w:val="001544EA"/>
    <w:rsid w:val="0015466A"/>
    <w:rsid w:val="00184DC9"/>
    <w:rsid w:val="00193A14"/>
    <w:rsid w:val="001A746A"/>
    <w:rsid w:val="002173A8"/>
    <w:rsid w:val="002236A4"/>
    <w:rsid w:val="00240523"/>
    <w:rsid w:val="0024065F"/>
    <w:rsid w:val="0026024C"/>
    <w:rsid w:val="00263DB6"/>
    <w:rsid w:val="00297F37"/>
    <w:rsid w:val="002E4B09"/>
    <w:rsid w:val="003045BD"/>
    <w:rsid w:val="0030742C"/>
    <w:rsid w:val="00331912"/>
    <w:rsid w:val="003439BF"/>
    <w:rsid w:val="00343B2D"/>
    <w:rsid w:val="00363C3A"/>
    <w:rsid w:val="0038461D"/>
    <w:rsid w:val="0039618D"/>
    <w:rsid w:val="003A34D0"/>
    <w:rsid w:val="003F2622"/>
    <w:rsid w:val="00417ECF"/>
    <w:rsid w:val="0044356F"/>
    <w:rsid w:val="00443B33"/>
    <w:rsid w:val="004569EF"/>
    <w:rsid w:val="00476DEC"/>
    <w:rsid w:val="004A4789"/>
    <w:rsid w:val="004C6B57"/>
    <w:rsid w:val="004E22D9"/>
    <w:rsid w:val="004E58D2"/>
    <w:rsid w:val="004F1F0B"/>
    <w:rsid w:val="00506713"/>
    <w:rsid w:val="00523712"/>
    <w:rsid w:val="00523DCD"/>
    <w:rsid w:val="00525C87"/>
    <w:rsid w:val="005356EA"/>
    <w:rsid w:val="005362EC"/>
    <w:rsid w:val="00592738"/>
    <w:rsid w:val="0059456B"/>
    <w:rsid w:val="005A7D59"/>
    <w:rsid w:val="005E3654"/>
    <w:rsid w:val="005E7B7A"/>
    <w:rsid w:val="005F3D68"/>
    <w:rsid w:val="0060435F"/>
    <w:rsid w:val="006114EA"/>
    <w:rsid w:val="00632910"/>
    <w:rsid w:val="006477AF"/>
    <w:rsid w:val="00676D90"/>
    <w:rsid w:val="0068537C"/>
    <w:rsid w:val="0069615F"/>
    <w:rsid w:val="006A5365"/>
    <w:rsid w:val="006C01E5"/>
    <w:rsid w:val="006C4C6A"/>
    <w:rsid w:val="006C6867"/>
    <w:rsid w:val="006C7C55"/>
    <w:rsid w:val="006D2190"/>
    <w:rsid w:val="006D751F"/>
    <w:rsid w:val="006E24F9"/>
    <w:rsid w:val="00710F1F"/>
    <w:rsid w:val="00713046"/>
    <w:rsid w:val="007276AE"/>
    <w:rsid w:val="00736305"/>
    <w:rsid w:val="0074081F"/>
    <w:rsid w:val="00740928"/>
    <w:rsid w:val="007516EF"/>
    <w:rsid w:val="00761420"/>
    <w:rsid w:val="00777502"/>
    <w:rsid w:val="00783465"/>
    <w:rsid w:val="00784C50"/>
    <w:rsid w:val="007E5261"/>
    <w:rsid w:val="007E5FF3"/>
    <w:rsid w:val="00812D23"/>
    <w:rsid w:val="00820474"/>
    <w:rsid w:val="00820926"/>
    <w:rsid w:val="00826471"/>
    <w:rsid w:val="00834A80"/>
    <w:rsid w:val="00847C7A"/>
    <w:rsid w:val="008612A1"/>
    <w:rsid w:val="008704BB"/>
    <w:rsid w:val="00896594"/>
    <w:rsid w:val="00917805"/>
    <w:rsid w:val="00932E45"/>
    <w:rsid w:val="00963238"/>
    <w:rsid w:val="0096462E"/>
    <w:rsid w:val="0097597F"/>
    <w:rsid w:val="009924B4"/>
    <w:rsid w:val="00995D77"/>
    <w:rsid w:val="0099611E"/>
    <w:rsid w:val="009B3DFA"/>
    <w:rsid w:val="009B6433"/>
    <w:rsid w:val="00A02B08"/>
    <w:rsid w:val="00A0366E"/>
    <w:rsid w:val="00A04BA5"/>
    <w:rsid w:val="00A1742D"/>
    <w:rsid w:val="00A56557"/>
    <w:rsid w:val="00A6698B"/>
    <w:rsid w:val="00A82F33"/>
    <w:rsid w:val="00A84F1C"/>
    <w:rsid w:val="00AD3279"/>
    <w:rsid w:val="00AE28AD"/>
    <w:rsid w:val="00AF047F"/>
    <w:rsid w:val="00AF79DA"/>
    <w:rsid w:val="00B25D6B"/>
    <w:rsid w:val="00B650C3"/>
    <w:rsid w:val="00B737E1"/>
    <w:rsid w:val="00B81CD9"/>
    <w:rsid w:val="00B9756D"/>
    <w:rsid w:val="00BF08E8"/>
    <w:rsid w:val="00C15E9C"/>
    <w:rsid w:val="00C16195"/>
    <w:rsid w:val="00C2043D"/>
    <w:rsid w:val="00C46527"/>
    <w:rsid w:val="00C55967"/>
    <w:rsid w:val="00C618FD"/>
    <w:rsid w:val="00CA0829"/>
    <w:rsid w:val="00CA1C1C"/>
    <w:rsid w:val="00CA4BA0"/>
    <w:rsid w:val="00CB1752"/>
    <w:rsid w:val="00CC3F03"/>
    <w:rsid w:val="00CC4AF8"/>
    <w:rsid w:val="00CC6C6E"/>
    <w:rsid w:val="00CC7310"/>
    <w:rsid w:val="00CC7BC8"/>
    <w:rsid w:val="00CF292A"/>
    <w:rsid w:val="00D00405"/>
    <w:rsid w:val="00D11B90"/>
    <w:rsid w:val="00D50B19"/>
    <w:rsid w:val="00D61BD2"/>
    <w:rsid w:val="00D635DE"/>
    <w:rsid w:val="00D756AD"/>
    <w:rsid w:val="00DA2FDB"/>
    <w:rsid w:val="00DA39DB"/>
    <w:rsid w:val="00DA7374"/>
    <w:rsid w:val="00DC6FE2"/>
    <w:rsid w:val="00DD2444"/>
    <w:rsid w:val="00DE1CFA"/>
    <w:rsid w:val="00DE2C9C"/>
    <w:rsid w:val="00DF1AB5"/>
    <w:rsid w:val="00DF5D19"/>
    <w:rsid w:val="00E235A4"/>
    <w:rsid w:val="00E424C6"/>
    <w:rsid w:val="00E6767B"/>
    <w:rsid w:val="00E82DD8"/>
    <w:rsid w:val="00E9486D"/>
    <w:rsid w:val="00EA18EC"/>
    <w:rsid w:val="00EB5B96"/>
    <w:rsid w:val="00EC0599"/>
    <w:rsid w:val="00ED51B1"/>
    <w:rsid w:val="00EE1F2C"/>
    <w:rsid w:val="00EE4BCF"/>
    <w:rsid w:val="00EF53C8"/>
    <w:rsid w:val="00F07665"/>
    <w:rsid w:val="00F11A8C"/>
    <w:rsid w:val="00F152DF"/>
    <w:rsid w:val="00F23B49"/>
    <w:rsid w:val="00F40028"/>
    <w:rsid w:val="00F40163"/>
    <w:rsid w:val="00F52C1F"/>
    <w:rsid w:val="00F5373B"/>
    <w:rsid w:val="00F8777C"/>
    <w:rsid w:val="00F920C5"/>
    <w:rsid w:val="00FA36DD"/>
    <w:rsid w:val="00FA3B5C"/>
    <w:rsid w:val="00FB3A33"/>
    <w:rsid w:val="00FC0FCD"/>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semiHidden/>
    <w:pPr>
      <w:spacing w:after="120"/>
    </w:pPr>
  </w:style>
  <w:style w:type="character" w:styleId="FootnoteReference">
    <w:name w:val="footnote reference"/>
    <w:aliases w:val="Appel note de bas de p,Style 12,(NECG) Footnote Reference,Style 124,Style 13,fr,o,Style 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emiHidden/>
    <w:locked/>
    <w:rPr>
      <w:lang w:val="en-US" w:eastAsia="en-US" w:bidi="ar-SA"/>
    </w:rPr>
  </w:style>
  <w:style w:type="paragraph" w:styleId="BalloonText">
    <w:name w:val="Balloon Text"/>
    <w:basedOn w:val="Normal"/>
    <w:link w:val="BalloonTextChar"/>
    <w:semiHidden/>
    <w:pPr>
      <w:widowControl/>
    </w:pPr>
    <w:rPr>
      <w:rFonts w:ascii="Tahoma" w:hAnsi="Tahoma" w:cs="Tahoma"/>
      <w:snapToGrid/>
      <w:kern w:val="0"/>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pPr>
      <w:widowControl/>
    </w:pPr>
    <w:rPr>
      <w:snapToGrid/>
      <w:kern w:val="0"/>
      <w:sz w:val="20"/>
    </w:rPr>
  </w:style>
  <w:style w:type="character" w:customStyle="1" w:styleId="CommentTextChar">
    <w:name w:val="Comment Text Char"/>
    <w:link w:val="CommentText"/>
    <w:uiPriority w:val="99"/>
    <w:semiHidden/>
    <w:locked/>
    <w:rPr>
      <w:lang w:val="en-US" w:eastAsia="en-US" w:bidi="ar-SA"/>
    </w:rPr>
  </w:style>
  <w:style w:type="paragraph" w:styleId="CommentSubject">
    <w:name w:val="annotation subject"/>
    <w:basedOn w:val="CommentText"/>
    <w:next w:val="CommentText"/>
    <w:semiHidden/>
    <w:pPr>
      <w:widowControl w:val="0"/>
    </w:pPr>
    <w:rPr>
      <w:b/>
      <w:bCs/>
      <w:snapToGrid w:val="0"/>
      <w:kern w:val="28"/>
    </w:rPr>
  </w:style>
  <w:style w:type="paragraph" w:customStyle="1" w:styleId="Default">
    <w:name w:val="Default"/>
    <w:pPr>
      <w:autoSpaceDE w:val="0"/>
      <w:autoSpaceDN w:val="0"/>
      <w:adjustRightInd w:val="0"/>
    </w:pPr>
    <w:rPr>
      <w:color w:val="000000"/>
      <w:sz w:val="24"/>
      <w:szCs w:val="24"/>
    </w:rPr>
  </w:style>
  <w:style w:type="character" w:customStyle="1" w:styleId="ParaNumChar1">
    <w:name w:val="ParaNum Char1"/>
    <w:link w:val="ParaNum"/>
    <w:rPr>
      <w:snapToGrid w:val="0"/>
      <w:kern w:val="28"/>
      <w:sz w:val="22"/>
      <w:lang w:val="en-US" w:eastAsia="en-US" w:bidi="ar-SA"/>
    </w:rPr>
  </w:style>
  <w:style w:type="paragraph" w:styleId="Revision">
    <w:name w:val="Revision"/>
    <w:hidden/>
    <w:uiPriority w:val="99"/>
    <w:semiHidden/>
    <w:rsid w:val="0073630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semiHidden/>
    <w:pPr>
      <w:spacing w:after="120"/>
    </w:pPr>
  </w:style>
  <w:style w:type="character" w:styleId="FootnoteReference">
    <w:name w:val="footnote reference"/>
    <w:aliases w:val="Appel note de bas de p,Style 12,(NECG) Footnote Reference,Style 124,Style 13,fr,o,Style 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semiHidden/>
    <w:locked/>
    <w:rPr>
      <w:lang w:val="en-US" w:eastAsia="en-US" w:bidi="ar-SA"/>
    </w:rPr>
  </w:style>
  <w:style w:type="paragraph" w:styleId="BalloonText">
    <w:name w:val="Balloon Text"/>
    <w:basedOn w:val="Normal"/>
    <w:link w:val="BalloonTextChar"/>
    <w:semiHidden/>
    <w:pPr>
      <w:widowControl/>
    </w:pPr>
    <w:rPr>
      <w:rFonts w:ascii="Tahoma" w:hAnsi="Tahoma" w:cs="Tahoma"/>
      <w:snapToGrid/>
      <w:kern w:val="0"/>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pPr>
      <w:widowControl/>
    </w:pPr>
    <w:rPr>
      <w:snapToGrid/>
      <w:kern w:val="0"/>
      <w:sz w:val="20"/>
    </w:rPr>
  </w:style>
  <w:style w:type="character" w:customStyle="1" w:styleId="CommentTextChar">
    <w:name w:val="Comment Text Char"/>
    <w:link w:val="CommentText"/>
    <w:uiPriority w:val="99"/>
    <w:semiHidden/>
    <w:locked/>
    <w:rPr>
      <w:lang w:val="en-US" w:eastAsia="en-US" w:bidi="ar-SA"/>
    </w:rPr>
  </w:style>
  <w:style w:type="paragraph" w:styleId="CommentSubject">
    <w:name w:val="annotation subject"/>
    <w:basedOn w:val="CommentText"/>
    <w:next w:val="CommentText"/>
    <w:semiHidden/>
    <w:pPr>
      <w:widowControl w:val="0"/>
    </w:pPr>
    <w:rPr>
      <w:b/>
      <w:bCs/>
      <w:snapToGrid w:val="0"/>
      <w:kern w:val="28"/>
    </w:rPr>
  </w:style>
  <w:style w:type="paragraph" w:customStyle="1" w:styleId="Default">
    <w:name w:val="Default"/>
    <w:pPr>
      <w:autoSpaceDE w:val="0"/>
      <w:autoSpaceDN w:val="0"/>
      <w:adjustRightInd w:val="0"/>
    </w:pPr>
    <w:rPr>
      <w:color w:val="000000"/>
      <w:sz w:val="24"/>
      <w:szCs w:val="24"/>
    </w:rPr>
  </w:style>
  <w:style w:type="character" w:customStyle="1" w:styleId="ParaNumChar1">
    <w:name w:val="ParaNum Char1"/>
    <w:link w:val="ParaNum"/>
    <w:rPr>
      <w:snapToGrid w:val="0"/>
      <w:kern w:val="28"/>
      <w:sz w:val="22"/>
      <w:lang w:val="en-US" w:eastAsia="en-US" w:bidi="ar-SA"/>
    </w:rPr>
  </w:style>
  <w:style w:type="paragraph" w:styleId="Revision">
    <w:name w:val="Revision"/>
    <w:hidden/>
    <w:uiPriority w:val="99"/>
    <w:semiHidden/>
    <w:rsid w:val="0073630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22973">
      <w:bodyDiv w:val="1"/>
      <w:marLeft w:val="0"/>
      <w:marRight w:val="0"/>
      <w:marTop w:val="0"/>
      <w:marBottom w:val="0"/>
      <w:divBdr>
        <w:top w:val="none" w:sz="0" w:space="0" w:color="auto"/>
        <w:left w:val="none" w:sz="0" w:space="0" w:color="auto"/>
        <w:bottom w:val="none" w:sz="0" w:space="0" w:color="auto"/>
        <w:right w:val="none" w:sz="0" w:space="0" w:color="auto"/>
      </w:divBdr>
      <w:divsChild>
        <w:div w:id="1333679506">
          <w:marLeft w:val="0"/>
          <w:marRight w:val="0"/>
          <w:marTop w:val="0"/>
          <w:marBottom w:val="0"/>
          <w:divBdr>
            <w:top w:val="none" w:sz="0" w:space="0" w:color="auto"/>
            <w:left w:val="none" w:sz="0" w:space="0" w:color="auto"/>
            <w:bottom w:val="none" w:sz="0" w:space="0" w:color="auto"/>
            <w:right w:val="none" w:sz="0" w:space="0" w:color="auto"/>
          </w:divBdr>
          <w:divsChild>
            <w:div w:id="1479880022">
              <w:marLeft w:val="0"/>
              <w:marRight w:val="0"/>
              <w:marTop w:val="0"/>
              <w:marBottom w:val="0"/>
              <w:divBdr>
                <w:top w:val="none" w:sz="0" w:space="0" w:color="auto"/>
                <w:left w:val="none" w:sz="0" w:space="0" w:color="auto"/>
                <w:bottom w:val="none" w:sz="0" w:space="0" w:color="auto"/>
                <w:right w:val="none" w:sz="0" w:space="0" w:color="auto"/>
              </w:divBdr>
              <w:divsChild>
                <w:div w:id="2089303684">
                  <w:marLeft w:val="0"/>
                  <w:marRight w:val="0"/>
                  <w:marTop w:val="0"/>
                  <w:marBottom w:val="0"/>
                  <w:divBdr>
                    <w:top w:val="none" w:sz="0" w:space="0" w:color="auto"/>
                    <w:left w:val="none" w:sz="0" w:space="0" w:color="auto"/>
                    <w:bottom w:val="none" w:sz="0" w:space="0" w:color="auto"/>
                    <w:right w:val="none" w:sz="0" w:space="0" w:color="auto"/>
                  </w:divBdr>
                  <w:divsChild>
                    <w:div w:id="268705974">
                      <w:marLeft w:val="0"/>
                      <w:marRight w:val="0"/>
                      <w:marTop w:val="173"/>
                      <w:marBottom w:val="0"/>
                      <w:divBdr>
                        <w:top w:val="none" w:sz="0" w:space="0" w:color="auto"/>
                        <w:left w:val="none" w:sz="0" w:space="0" w:color="auto"/>
                        <w:bottom w:val="none" w:sz="0" w:space="0" w:color="auto"/>
                        <w:right w:val="none" w:sz="0" w:space="0" w:color="auto"/>
                      </w:divBdr>
                      <w:divsChild>
                        <w:div w:id="1790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10698</Characters>
  <Application>Microsoft Office Word</Application>
  <DocSecurity>0</DocSecurity>
  <Lines>180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2013-10-22T19:17:00Z</cp:lastPrinted>
  <dcterms:created xsi:type="dcterms:W3CDTF">2013-10-23T17:23:00Z</dcterms:created>
  <dcterms:modified xsi:type="dcterms:W3CDTF">2013-10-23T17:23:00Z</dcterms:modified>
  <cp:category> </cp:category>
  <cp:contentStatus> </cp:contentStatus>
</cp:coreProperties>
</file>