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7C" w:rsidRDefault="00EA24FF" w:rsidP="00672DDD">
      <w:pPr>
        <w:rPr>
          <w:szCs w:val="22"/>
        </w:rPr>
      </w:pPr>
      <w:bookmarkStart w:id="0" w:name="_GoBack"/>
      <w:bookmarkEnd w:id="0"/>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921E3F" w:rsidRPr="00490140" w:rsidRDefault="004F0B7C" w:rsidP="00672DDD">
      <w:pPr>
        <w:rPr>
          <w:b/>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C206A1" w:rsidRPr="00490140">
        <w:rPr>
          <w:b/>
          <w:szCs w:val="22"/>
        </w:rPr>
        <w:t xml:space="preserve">DA </w:t>
      </w:r>
      <w:r w:rsidR="007169FD" w:rsidRPr="007169FD">
        <w:rPr>
          <w:b/>
          <w:szCs w:val="22"/>
        </w:rPr>
        <w:t>13-1773</w:t>
      </w:r>
    </w:p>
    <w:p w:rsidR="00BB204B" w:rsidRPr="00BB204B" w:rsidRDefault="00921E3F" w:rsidP="00BB204B">
      <w:pPr>
        <w:rPr>
          <w:i/>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BB204B" w:rsidRPr="00BB204B">
        <w:rPr>
          <w:i/>
          <w:szCs w:val="22"/>
        </w:rPr>
        <w:t xml:space="preserve">In Reply Refer to:  </w:t>
      </w:r>
    </w:p>
    <w:p w:rsidR="00BB204B" w:rsidRDefault="00BB204B" w:rsidP="00BB204B">
      <w:pPr>
        <w:rPr>
          <w:szCs w:val="22"/>
        </w:rPr>
      </w:pPr>
      <w:r w:rsidRPr="00BB204B">
        <w:rPr>
          <w:b/>
          <w:i/>
          <w:szCs w:val="22"/>
        </w:rPr>
        <w:tab/>
      </w:r>
      <w:r w:rsidRPr="00BB204B">
        <w:rPr>
          <w:b/>
          <w:i/>
          <w:szCs w:val="22"/>
        </w:rPr>
        <w:tab/>
      </w:r>
      <w:r w:rsidRPr="00BB204B">
        <w:rPr>
          <w:b/>
          <w:i/>
          <w:szCs w:val="22"/>
        </w:rPr>
        <w:tab/>
      </w:r>
      <w:r w:rsidRPr="00BB204B">
        <w:rPr>
          <w:b/>
          <w:i/>
          <w:szCs w:val="22"/>
        </w:rPr>
        <w:tab/>
      </w:r>
      <w:r w:rsidRPr="00BB204B">
        <w:rPr>
          <w:b/>
          <w:i/>
          <w:szCs w:val="22"/>
        </w:rPr>
        <w:tab/>
      </w:r>
      <w:r w:rsidRPr="00BB204B">
        <w:rPr>
          <w:b/>
          <w:i/>
          <w:szCs w:val="22"/>
        </w:rPr>
        <w:tab/>
      </w:r>
      <w:r w:rsidRPr="00BB204B">
        <w:rPr>
          <w:b/>
          <w:i/>
          <w:szCs w:val="22"/>
        </w:rPr>
        <w:tab/>
      </w:r>
      <w:r w:rsidRPr="00BB204B">
        <w:rPr>
          <w:b/>
          <w:i/>
          <w:szCs w:val="22"/>
        </w:rPr>
        <w:tab/>
      </w:r>
      <w:r w:rsidRPr="00BB204B">
        <w:rPr>
          <w:b/>
          <w:i/>
          <w:szCs w:val="22"/>
        </w:rPr>
        <w:tab/>
      </w:r>
      <w:r w:rsidRPr="00BB204B">
        <w:rPr>
          <w:szCs w:val="22"/>
        </w:rPr>
        <w:t>1800B3-SS</w:t>
      </w:r>
    </w:p>
    <w:p w:rsidR="00C206A1" w:rsidRDefault="00C206A1" w:rsidP="00BB204B">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Released: </w:t>
      </w:r>
      <w:r w:rsidR="001244B7">
        <w:rPr>
          <w:szCs w:val="22"/>
        </w:rPr>
        <w:t>August 19, 2013</w:t>
      </w:r>
    </w:p>
    <w:p w:rsidR="00BB204B" w:rsidRDefault="00EA24FF" w:rsidP="00BB204B">
      <w:pPr>
        <w:rPr>
          <w:sz w:val="22"/>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5F1A71" w:rsidRDefault="00921E3F" w:rsidP="00BB204B">
      <w:pPr>
        <w:rPr>
          <w:sz w:val="22"/>
          <w:szCs w:val="22"/>
        </w:rPr>
      </w:pPr>
      <w:r>
        <w:rPr>
          <w:sz w:val="22"/>
          <w:szCs w:val="22"/>
        </w:rPr>
        <w:t xml:space="preserve">Mr. </w:t>
      </w:r>
      <w:r w:rsidR="00635E91">
        <w:rPr>
          <w:sz w:val="22"/>
          <w:szCs w:val="22"/>
        </w:rPr>
        <w:t>Edward A. Schober</w:t>
      </w:r>
    </w:p>
    <w:p w:rsidR="00F15EA6" w:rsidRDefault="00F15EA6" w:rsidP="00BB204B">
      <w:pPr>
        <w:rPr>
          <w:sz w:val="22"/>
          <w:szCs w:val="22"/>
        </w:rPr>
      </w:pPr>
      <w:r>
        <w:rPr>
          <w:sz w:val="22"/>
          <w:szCs w:val="22"/>
        </w:rPr>
        <w:t>402 10</w:t>
      </w:r>
      <w:r w:rsidRPr="00F15EA6">
        <w:rPr>
          <w:sz w:val="22"/>
          <w:szCs w:val="22"/>
          <w:vertAlign w:val="superscript"/>
        </w:rPr>
        <w:t>th</w:t>
      </w:r>
      <w:r>
        <w:rPr>
          <w:sz w:val="22"/>
          <w:szCs w:val="22"/>
        </w:rPr>
        <w:t xml:space="preserve"> Ave</w:t>
      </w:r>
      <w:r w:rsidR="00886812">
        <w:rPr>
          <w:sz w:val="22"/>
          <w:szCs w:val="22"/>
        </w:rPr>
        <w:t>nue</w:t>
      </w:r>
    </w:p>
    <w:p w:rsidR="00BB204B" w:rsidRPr="00BB204B" w:rsidRDefault="00F15EA6" w:rsidP="00BB204B">
      <w:pPr>
        <w:rPr>
          <w:sz w:val="22"/>
          <w:szCs w:val="22"/>
        </w:rPr>
      </w:pPr>
      <w:r>
        <w:rPr>
          <w:sz w:val="22"/>
          <w:szCs w:val="22"/>
        </w:rPr>
        <w:t>Haddon Heights, NJ  08035</w:t>
      </w:r>
    </w:p>
    <w:p w:rsidR="00BB204B" w:rsidRPr="00BB204B" w:rsidRDefault="00BB204B" w:rsidP="00BB204B">
      <w:pPr>
        <w:rPr>
          <w:sz w:val="22"/>
          <w:szCs w:val="22"/>
        </w:rPr>
      </w:pPr>
    </w:p>
    <w:p w:rsidR="00E2390A" w:rsidRDefault="00BB204B" w:rsidP="009453E2">
      <w:pPr>
        <w:rPr>
          <w:b/>
          <w:bCs/>
          <w:sz w:val="22"/>
          <w:szCs w:val="22"/>
          <w:lang w:val="es-ES"/>
        </w:rPr>
      </w:pPr>
      <w:r w:rsidRPr="00BB204B">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B204B">
        <w:rPr>
          <w:b/>
          <w:bCs/>
          <w:sz w:val="22"/>
          <w:szCs w:val="22"/>
          <w:lang w:val="es-ES"/>
        </w:rPr>
        <w:t>In re:</w:t>
      </w:r>
      <w:r w:rsidR="00E2390A">
        <w:rPr>
          <w:b/>
          <w:bCs/>
          <w:sz w:val="22"/>
          <w:szCs w:val="22"/>
          <w:lang w:val="es-ES"/>
        </w:rPr>
        <w:t xml:space="preserve"> </w:t>
      </w:r>
      <w:r w:rsidR="00E2390A" w:rsidRPr="00E2390A">
        <w:rPr>
          <w:b/>
          <w:bCs/>
          <w:sz w:val="22"/>
          <w:szCs w:val="22"/>
          <w:lang w:val="es-ES"/>
        </w:rPr>
        <w:t xml:space="preserve">NEW FM Translator Station, </w:t>
      </w:r>
      <w:r w:rsidR="00E2390A" w:rsidRPr="00E2390A">
        <w:rPr>
          <w:b/>
          <w:bCs/>
          <w:sz w:val="22"/>
          <w:szCs w:val="22"/>
          <w:lang w:val="es-ES"/>
        </w:rPr>
        <w:tab/>
      </w:r>
      <w:r w:rsidR="00E2390A" w:rsidRPr="00E2390A">
        <w:rPr>
          <w:b/>
          <w:bCs/>
          <w:sz w:val="22"/>
          <w:szCs w:val="22"/>
          <w:lang w:val="es-ES"/>
        </w:rPr>
        <w:tab/>
      </w:r>
      <w:r w:rsidR="00E2390A" w:rsidRPr="00E2390A">
        <w:rPr>
          <w:b/>
          <w:bCs/>
          <w:sz w:val="22"/>
          <w:szCs w:val="22"/>
          <w:lang w:val="es-ES"/>
        </w:rPr>
        <w:tab/>
      </w:r>
      <w:r w:rsidR="00E2390A" w:rsidRPr="00E2390A">
        <w:rPr>
          <w:b/>
          <w:bCs/>
          <w:sz w:val="22"/>
          <w:szCs w:val="22"/>
          <w:lang w:val="es-ES"/>
        </w:rPr>
        <w:tab/>
      </w:r>
      <w:r w:rsidR="00E2390A" w:rsidRPr="00E2390A">
        <w:rPr>
          <w:b/>
          <w:bCs/>
          <w:sz w:val="22"/>
          <w:szCs w:val="22"/>
          <w:lang w:val="es-ES"/>
        </w:rPr>
        <w:tab/>
      </w:r>
      <w:r w:rsidR="00E2390A" w:rsidRPr="00E2390A">
        <w:rPr>
          <w:b/>
          <w:bCs/>
          <w:sz w:val="22"/>
          <w:szCs w:val="22"/>
          <w:lang w:val="es-ES"/>
        </w:rPr>
        <w:tab/>
      </w:r>
      <w:r w:rsidR="00E2390A" w:rsidRPr="00E2390A">
        <w:rPr>
          <w:b/>
          <w:bCs/>
          <w:sz w:val="22"/>
          <w:szCs w:val="22"/>
          <w:lang w:val="es-ES"/>
        </w:rPr>
        <w:tab/>
      </w:r>
      <w:r w:rsidR="00E2390A" w:rsidRPr="00E2390A">
        <w:rPr>
          <w:b/>
          <w:bCs/>
          <w:sz w:val="22"/>
          <w:szCs w:val="22"/>
          <w:lang w:val="es-ES"/>
        </w:rPr>
        <w:tab/>
      </w:r>
      <w:r w:rsidR="00E2390A" w:rsidRPr="00E2390A">
        <w:rPr>
          <w:b/>
          <w:bCs/>
          <w:sz w:val="22"/>
          <w:szCs w:val="22"/>
          <w:lang w:val="es-ES"/>
        </w:rPr>
        <w:tab/>
      </w:r>
      <w:r w:rsidR="00E2390A">
        <w:rPr>
          <w:b/>
          <w:bCs/>
          <w:sz w:val="22"/>
          <w:szCs w:val="22"/>
          <w:lang w:val="es-ES"/>
        </w:rPr>
        <w:t xml:space="preserve">           </w:t>
      </w:r>
      <w:r w:rsidR="00F90D96">
        <w:rPr>
          <w:b/>
          <w:bCs/>
          <w:sz w:val="22"/>
          <w:szCs w:val="22"/>
          <w:lang w:val="es-ES"/>
        </w:rPr>
        <w:t>Denton</w:t>
      </w:r>
      <w:r w:rsidR="00E2390A" w:rsidRPr="00E2390A">
        <w:rPr>
          <w:b/>
          <w:bCs/>
          <w:sz w:val="22"/>
          <w:szCs w:val="22"/>
          <w:lang w:val="es-ES"/>
        </w:rPr>
        <w:t>,</w:t>
      </w:r>
      <w:r w:rsidR="00F90D96">
        <w:rPr>
          <w:b/>
          <w:bCs/>
          <w:sz w:val="22"/>
          <w:szCs w:val="22"/>
          <w:lang w:val="es-ES"/>
        </w:rPr>
        <w:t xml:space="preserve"> </w:t>
      </w:r>
      <w:r w:rsidR="00E2390A" w:rsidRPr="00E2390A">
        <w:rPr>
          <w:b/>
          <w:bCs/>
          <w:sz w:val="22"/>
          <w:szCs w:val="22"/>
          <w:lang w:val="es-ES"/>
        </w:rPr>
        <w:t>MD</w:t>
      </w:r>
      <w:r w:rsidR="00E2390A" w:rsidRPr="00E2390A">
        <w:rPr>
          <w:b/>
          <w:bCs/>
          <w:sz w:val="22"/>
          <w:szCs w:val="22"/>
          <w:lang w:val="es-ES"/>
        </w:rPr>
        <w:tab/>
      </w:r>
    </w:p>
    <w:p w:rsidR="00E2390A" w:rsidRDefault="00E2390A" w:rsidP="009453E2">
      <w:pPr>
        <w:rPr>
          <w:bCs/>
          <w:sz w:val="22"/>
          <w:szCs w:val="22"/>
          <w:lang w:val="es-ES"/>
        </w:rPr>
      </w:pPr>
      <w:r>
        <w:rPr>
          <w:b/>
          <w:bCs/>
          <w:sz w:val="22"/>
          <w:szCs w:val="22"/>
          <w:lang w:val="es-ES"/>
        </w:rPr>
        <w:tab/>
      </w:r>
      <w:r>
        <w:rPr>
          <w:b/>
          <w:bCs/>
          <w:sz w:val="22"/>
          <w:szCs w:val="22"/>
          <w:lang w:val="es-ES"/>
        </w:rPr>
        <w:tab/>
      </w:r>
      <w:r>
        <w:rPr>
          <w:b/>
          <w:bCs/>
          <w:sz w:val="22"/>
          <w:szCs w:val="22"/>
          <w:lang w:val="es-ES"/>
        </w:rPr>
        <w:tab/>
      </w:r>
      <w:r>
        <w:rPr>
          <w:b/>
          <w:bCs/>
          <w:sz w:val="22"/>
          <w:szCs w:val="22"/>
          <w:lang w:val="es-ES"/>
        </w:rPr>
        <w:tab/>
      </w:r>
      <w:r>
        <w:rPr>
          <w:b/>
          <w:bCs/>
          <w:sz w:val="22"/>
          <w:szCs w:val="22"/>
          <w:lang w:val="es-ES"/>
        </w:rPr>
        <w:tab/>
      </w:r>
      <w:r>
        <w:rPr>
          <w:b/>
          <w:bCs/>
          <w:sz w:val="22"/>
          <w:szCs w:val="22"/>
          <w:lang w:val="es-ES"/>
        </w:rPr>
        <w:tab/>
      </w:r>
      <w:r w:rsidRPr="00E2390A">
        <w:rPr>
          <w:bCs/>
          <w:sz w:val="22"/>
          <w:szCs w:val="22"/>
          <w:lang w:val="es-ES"/>
        </w:rPr>
        <w:t xml:space="preserve">           F</w:t>
      </w:r>
      <w:r>
        <w:rPr>
          <w:bCs/>
          <w:sz w:val="22"/>
          <w:szCs w:val="22"/>
          <w:lang w:val="es-ES"/>
        </w:rPr>
        <w:t>acility ID No. 141493</w:t>
      </w:r>
    </w:p>
    <w:p w:rsidR="00E2390A" w:rsidRDefault="00E2390A" w:rsidP="009453E2">
      <w:pPr>
        <w:rPr>
          <w:b/>
          <w:bCs/>
          <w:sz w:val="22"/>
          <w:szCs w:val="22"/>
          <w:lang w:val="es-ES"/>
        </w:rPr>
      </w:pPr>
      <w:r>
        <w:rPr>
          <w:bCs/>
          <w:sz w:val="22"/>
          <w:szCs w:val="22"/>
          <w:lang w:val="es-ES"/>
        </w:rPr>
        <w:tab/>
      </w:r>
      <w:r>
        <w:rPr>
          <w:bCs/>
          <w:sz w:val="22"/>
          <w:szCs w:val="22"/>
          <w:lang w:val="es-ES"/>
        </w:rPr>
        <w:tab/>
      </w:r>
      <w:r>
        <w:rPr>
          <w:bCs/>
          <w:sz w:val="22"/>
          <w:szCs w:val="22"/>
          <w:lang w:val="es-ES"/>
        </w:rPr>
        <w:tab/>
      </w:r>
      <w:r>
        <w:rPr>
          <w:bCs/>
          <w:sz w:val="22"/>
          <w:szCs w:val="22"/>
          <w:lang w:val="es-ES"/>
        </w:rPr>
        <w:tab/>
      </w:r>
      <w:r>
        <w:rPr>
          <w:bCs/>
          <w:sz w:val="22"/>
          <w:szCs w:val="22"/>
          <w:lang w:val="es-ES"/>
        </w:rPr>
        <w:tab/>
      </w:r>
      <w:r>
        <w:rPr>
          <w:bCs/>
          <w:sz w:val="22"/>
          <w:szCs w:val="22"/>
          <w:lang w:val="es-ES"/>
        </w:rPr>
        <w:tab/>
        <w:t xml:space="preserve">           File No. BNPF</w:t>
      </w:r>
      <w:r w:rsidR="00146EE7">
        <w:rPr>
          <w:bCs/>
          <w:sz w:val="22"/>
          <w:szCs w:val="22"/>
          <w:lang w:val="es-ES"/>
        </w:rPr>
        <w:t>T</w:t>
      </w:r>
      <w:r>
        <w:rPr>
          <w:bCs/>
          <w:sz w:val="22"/>
          <w:szCs w:val="22"/>
          <w:lang w:val="es-ES"/>
        </w:rPr>
        <w:t>-20130325ABA</w:t>
      </w:r>
      <w:r>
        <w:rPr>
          <w:b/>
          <w:bCs/>
          <w:sz w:val="22"/>
          <w:szCs w:val="22"/>
          <w:lang w:val="es-ES"/>
        </w:rPr>
        <w:tab/>
      </w:r>
      <w:r>
        <w:rPr>
          <w:b/>
          <w:bCs/>
          <w:sz w:val="22"/>
          <w:szCs w:val="22"/>
          <w:lang w:val="es-ES"/>
        </w:rPr>
        <w:tab/>
      </w:r>
      <w:r>
        <w:rPr>
          <w:b/>
          <w:bCs/>
          <w:sz w:val="22"/>
          <w:szCs w:val="22"/>
          <w:lang w:val="es-ES"/>
        </w:rPr>
        <w:tab/>
        <w:t xml:space="preserve">             </w:t>
      </w:r>
      <w:r>
        <w:rPr>
          <w:b/>
          <w:bCs/>
          <w:sz w:val="22"/>
          <w:szCs w:val="22"/>
          <w:lang w:val="es-ES"/>
        </w:rPr>
        <w:tab/>
      </w:r>
      <w:r>
        <w:rPr>
          <w:b/>
          <w:bCs/>
          <w:sz w:val="22"/>
          <w:szCs w:val="22"/>
          <w:lang w:val="es-ES"/>
        </w:rPr>
        <w:tab/>
      </w:r>
      <w:r>
        <w:rPr>
          <w:b/>
          <w:bCs/>
          <w:sz w:val="22"/>
          <w:szCs w:val="22"/>
          <w:lang w:val="es-ES"/>
        </w:rPr>
        <w:tab/>
      </w:r>
    </w:p>
    <w:p w:rsidR="009453E2" w:rsidRPr="009453E2" w:rsidRDefault="00E2390A" w:rsidP="009453E2">
      <w:pPr>
        <w:rPr>
          <w:bCs/>
          <w:sz w:val="22"/>
          <w:szCs w:val="22"/>
          <w:lang w:val="es-ES"/>
        </w:rPr>
      </w:pPr>
      <w:r>
        <w:rPr>
          <w:b/>
          <w:bCs/>
          <w:sz w:val="22"/>
          <w:szCs w:val="22"/>
          <w:lang w:val="es-ES"/>
        </w:rPr>
        <w:tab/>
      </w:r>
      <w:r>
        <w:rPr>
          <w:b/>
          <w:bCs/>
          <w:sz w:val="22"/>
          <w:szCs w:val="22"/>
          <w:lang w:val="es-ES"/>
        </w:rPr>
        <w:tab/>
      </w:r>
      <w:r>
        <w:rPr>
          <w:b/>
          <w:bCs/>
          <w:sz w:val="22"/>
          <w:szCs w:val="22"/>
          <w:lang w:val="es-ES"/>
        </w:rPr>
        <w:tab/>
      </w:r>
      <w:r>
        <w:rPr>
          <w:b/>
          <w:bCs/>
          <w:sz w:val="22"/>
          <w:szCs w:val="22"/>
          <w:lang w:val="es-ES"/>
        </w:rPr>
        <w:tab/>
      </w:r>
      <w:r>
        <w:rPr>
          <w:b/>
          <w:bCs/>
          <w:sz w:val="22"/>
          <w:szCs w:val="22"/>
          <w:lang w:val="es-ES"/>
        </w:rPr>
        <w:tab/>
      </w:r>
      <w:r>
        <w:rPr>
          <w:b/>
          <w:bCs/>
          <w:sz w:val="22"/>
          <w:szCs w:val="22"/>
          <w:lang w:val="es-ES"/>
        </w:rPr>
        <w:tab/>
        <w:t xml:space="preserve">           </w:t>
      </w:r>
      <w:r w:rsidR="009453E2" w:rsidRPr="009453E2">
        <w:rPr>
          <w:b/>
          <w:bCs/>
          <w:sz w:val="22"/>
          <w:szCs w:val="22"/>
          <w:lang w:val="es-ES"/>
        </w:rPr>
        <w:t>NEW FM T</w:t>
      </w:r>
      <w:r w:rsidR="003F3D53">
        <w:rPr>
          <w:b/>
          <w:bCs/>
          <w:sz w:val="22"/>
          <w:szCs w:val="22"/>
          <w:lang w:val="es-ES"/>
        </w:rPr>
        <w:t>ranslator</w:t>
      </w:r>
      <w:r w:rsidR="00F15EA6">
        <w:rPr>
          <w:b/>
          <w:bCs/>
          <w:sz w:val="22"/>
          <w:szCs w:val="22"/>
          <w:lang w:val="es-ES"/>
        </w:rPr>
        <w:t xml:space="preserve"> </w:t>
      </w:r>
      <w:r w:rsidR="009453E2" w:rsidRPr="009453E2">
        <w:rPr>
          <w:b/>
          <w:bCs/>
          <w:sz w:val="22"/>
          <w:szCs w:val="22"/>
          <w:lang w:val="es-ES"/>
        </w:rPr>
        <w:t>S</w:t>
      </w:r>
      <w:r w:rsidR="003F3D53">
        <w:rPr>
          <w:b/>
          <w:bCs/>
          <w:sz w:val="22"/>
          <w:szCs w:val="22"/>
          <w:lang w:val="es-ES"/>
        </w:rPr>
        <w:t>tation</w:t>
      </w:r>
      <w:r w:rsidR="009453E2" w:rsidRPr="009453E2">
        <w:rPr>
          <w:b/>
          <w:bCs/>
          <w:sz w:val="22"/>
          <w:szCs w:val="22"/>
          <w:lang w:val="es-ES"/>
        </w:rPr>
        <w:t xml:space="preserve">, </w:t>
      </w:r>
      <w:r w:rsidR="009453E2" w:rsidRPr="009453E2">
        <w:rPr>
          <w:b/>
          <w:bCs/>
          <w:sz w:val="22"/>
          <w:szCs w:val="22"/>
          <w:lang w:val="es-ES"/>
        </w:rPr>
        <w:tab/>
      </w:r>
      <w:r w:rsidR="009453E2" w:rsidRPr="009453E2">
        <w:rPr>
          <w:b/>
          <w:bCs/>
          <w:sz w:val="22"/>
          <w:szCs w:val="22"/>
          <w:lang w:val="es-ES"/>
        </w:rPr>
        <w:tab/>
      </w:r>
      <w:r w:rsidR="009453E2" w:rsidRPr="009453E2">
        <w:rPr>
          <w:b/>
          <w:bCs/>
          <w:sz w:val="22"/>
          <w:szCs w:val="22"/>
          <w:lang w:val="es-ES"/>
        </w:rPr>
        <w:tab/>
      </w:r>
      <w:r w:rsidR="009453E2" w:rsidRPr="009453E2">
        <w:rPr>
          <w:b/>
          <w:bCs/>
          <w:sz w:val="22"/>
          <w:szCs w:val="22"/>
          <w:lang w:val="es-ES"/>
        </w:rPr>
        <w:tab/>
      </w:r>
      <w:r w:rsidR="009453E2" w:rsidRPr="009453E2">
        <w:rPr>
          <w:b/>
          <w:bCs/>
          <w:sz w:val="22"/>
          <w:szCs w:val="22"/>
          <w:lang w:val="es-ES"/>
        </w:rPr>
        <w:tab/>
      </w:r>
      <w:r w:rsidR="009453E2" w:rsidRPr="009453E2">
        <w:rPr>
          <w:b/>
          <w:bCs/>
          <w:sz w:val="22"/>
          <w:szCs w:val="22"/>
          <w:lang w:val="es-ES"/>
        </w:rPr>
        <w:tab/>
      </w:r>
      <w:r w:rsidR="009453E2" w:rsidRPr="009453E2">
        <w:rPr>
          <w:b/>
          <w:bCs/>
          <w:sz w:val="22"/>
          <w:szCs w:val="22"/>
          <w:lang w:val="es-ES"/>
        </w:rPr>
        <w:tab/>
      </w:r>
      <w:r w:rsidR="009453E2" w:rsidRPr="009453E2">
        <w:rPr>
          <w:b/>
          <w:bCs/>
          <w:sz w:val="22"/>
          <w:szCs w:val="22"/>
          <w:lang w:val="es-ES"/>
        </w:rPr>
        <w:tab/>
      </w:r>
      <w:r w:rsidR="006A1BC8">
        <w:rPr>
          <w:b/>
          <w:bCs/>
          <w:sz w:val="22"/>
          <w:szCs w:val="22"/>
          <w:lang w:val="es-ES"/>
        </w:rPr>
        <w:tab/>
      </w:r>
      <w:r>
        <w:rPr>
          <w:b/>
          <w:bCs/>
          <w:sz w:val="22"/>
          <w:szCs w:val="22"/>
          <w:lang w:val="es-ES"/>
        </w:rPr>
        <w:t xml:space="preserve">           </w:t>
      </w:r>
      <w:r w:rsidR="00181468">
        <w:rPr>
          <w:b/>
          <w:bCs/>
          <w:sz w:val="22"/>
          <w:szCs w:val="22"/>
          <w:lang w:val="es-ES"/>
        </w:rPr>
        <w:t>Denton, MD</w:t>
      </w:r>
      <w:r w:rsidR="009453E2" w:rsidRPr="009453E2">
        <w:rPr>
          <w:b/>
          <w:bCs/>
          <w:sz w:val="22"/>
          <w:szCs w:val="22"/>
          <w:lang w:val="es-ES"/>
        </w:rPr>
        <w:tab/>
      </w:r>
    </w:p>
    <w:p w:rsidR="009453E2" w:rsidRPr="009453E2" w:rsidRDefault="009453E2" w:rsidP="009453E2">
      <w:pPr>
        <w:rPr>
          <w:bCs/>
          <w:sz w:val="22"/>
          <w:szCs w:val="22"/>
          <w:lang w:val="es-ES"/>
        </w:rPr>
      </w:pPr>
      <w:r w:rsidRPr="009453E2">
        <w:rPr>
          <w:bCs/>
          <w:sz w:val="22"/>
          <w:szCs w:val="22"/>
          <w:lang w:val="es-ES"/>
        </w:rPr>
        <w:tab/>
      </w:r>
      <w:r w:rsidRPr="009453E2">
        <w:rPr>
          <w:bCs/>
          <w:sz w:val="22"/>
          <w:szCs w:val="22"/>
          <w:lang w:val="es-ES"/>
        </w:rPr>
        <w:tab/>
      </w:r>
      <w:r w:rsidRPr="009453E2">
        <w:rPr>
          <w:bCs/>
          <w:sz w:val="22"/>
          <w:szCs w:val="22"/>
          <w:lang w:val="es-ES"/>
        </w:rPr>
        <w:tab/>
      </w:r>
      <w:r w:rsidRPr="009453E2">
        <w:rPr>
          <w:bCs/>
          <w:sz w:val="22"/>
          <w:szCs w:val="22"/>
          <w:lang w:val="es-ES"/>
        </w:rPr>
        <w:tab/>
      </w:r>
      <w:r w:rsidRPr="009453E2">
        <w:rPr>
          <w:bCs/>
          <w:sz w:val="22"/>
          <w:szCs w:val="22"/>
          <w:lang w:val="es-ES"/>
        </w:rPr>
        <w:tab/>
      </w:r>
      <w:r w:rsidRPr="009453E2">
        <w:rPr>
          <w:bCs/>
          <w:sz w:val="22"/>
          <w:szCs w:val="22"/>
          <w:lang w:val="es-ES"/>
        </w:rPr>
        <w:tab/>
      </w:r>
      <w:r w:rsidR="00E2390A">
        <w:rPr>
          <w:bCs/>
          <w:sz w:val="22"/>
          <w:szCs w:val="22"/>
          <w:lang w:val="es-ES"/>
        </w:rPr>
        <w:t xml:space="preserve">           </w:t>
      </w:r>
      <w:r w:rsidRPr="009453E2">
        <w:rPr>
          <w:bCs/>
          <w:sz w:val="22"/>
          <w:szCs w:val="22"/>
          <w:lang w:val="es-ES"/>
        </w:rPr>
        <w:t xml:space="preserve">Facility ID No. </w:t>
      </w:r>
      <w:r w:rsidR="00F15EA6">
        <w:rPr>
          <w:bCs/>
          <w:sz w:val="22"/>
          <w:szCs w:val="22"/>
          <w:lang w:val="es-ES"/>
        </w:rPr>
        <w:t>141483</w:t>
      </w:r>
    </w:p>
    <w:p w:rsidR="00E2390A" w:rsidRDefault="009453E2" w:rsidP="00BB204B">
      <w:pPr>
        <w:rPr>
          <w:b/>
          <w:bCs/>
          <w:sz w:val="22"/>
          <w:szCs w:val="22"/>
          <w:lang w:val="es-ES"/>
        </w:rPr>
      </w:pPr>
      <w:r w:rsidRPr="009453E2">
        <w:rPr>
          <w:bCs/>
          <w:sz w:val="22"/>
          <w:szCs w:val="22"/>
          <w:lang w:val="es-ES"/>
        </w:rPr>
        <w:tab/>
      </w:r>
      <w:r w:rsidRPr="009453E2">
        <w:rPr>
          <w:bCs/>
          <w:sz w:val="22"/>
          <w:szCs w:val="22"/>
          <w:lang w:val="es-ES"/>
        </w:rPr>
        <w:tab/>
      </w:r>
      <w:r w:rsidRPr="009453E2">
        <w:rPr>
          <w:bCs/>
          <w:sz w:val="22"/>
          <w:szCs w:val="22"/>
          <w:lang w:val="es-ES"/>
        </w:rPr>
        <w:tab/>
      </w:r>
      <w:r w:rsidRPr="009453E2">
        <w:rPr>
          <w:bCs/>
          <w:sz w:val="22"/>
          <w:szCs w:val="22"/>
          <w:lang w:val="es-ES"/>
        </w:rPr>
        <w:tab/>
      </w:r>
      <w:r w:rsidRPr="009453E2">
        <w:rPr>
          <w:bCs/>
          <w:sz w:val="22"/>
          <w:szCs w:val="22"/>
          <w:lang w:val="es-ES"/>
        </w:rPr>
        <w:tab/>
      </w:r>
      <w:r w:rsidRPr="009453E2">
        <w:rPr>
          <w:bCs/>
          <w:sz w:val="22"/>
          <w:szCs w:val="22"/>
          <w:lang w:val="es-ES"/>
        </w:rPr>
        <w:tab/>
      </w:r>
      <w:r w:rsidR="00E2390A">
        <w:rPr>
          <w:bCs/>
          <w:sz w:val="22"/>
          <w:szCs w:val="22"/>
          <w:lang w:val="es-ES"/>
        </w:rPr>
        <w:t xml:space="preserve">           </w:t>
      </w:r>
      <w:r w:rsidRPr="009453E2">
        <w:rPr>
          <w:bCs/>
          <w:sz w:val="22"/>
          <w:szCs w:val="22"/>
          <w:lang w:val="es-ES"/>
        </w:rPr>
        <w:t>File No. BNPF</w:t>
      </w:r>
      <w:r w:rsidR="00146EE7">
        <w:rPr>
          <w:bCs/>
          <w:sz w:val="22"/>
          <w:szCs w:val="22"/>
          <w:lang w:val="es-ES"/>
        </w:rPr>
        <w:t>T</w:t>
      </w:r>
      <w:r w:rsidRPr="009453E2">
        <w:rPr>
          <w:bCs/>
          <w:sz w:val="22"/>
          <w:szCs w:val="22"/>
          <w:lang w:val="es-ES"/>
        </w:rPr>
        <w:t>-20</w:t>
      </w:r>
      <w:r w:rsidR="00F15EA6">
        <w:rPr>
          <w:bCs/>
          <w:sz w:val="22"/>
          <w:szCs w:val="22"/>
          <w:lang w:val="es-ES"/>
        </w:rPr>
        <w:t>13</w:t>
      </w:r>
      <w:r w:rsidRPr="009453E2">
        <w:rPr>
          <w:bCs/>
          <w:sz w:val="22"/>
          <w:szCs w:val="22"/>
          <w:lang w:val="es-ES"/>
        </w:rPr>
        <w:t>03</w:t>
      </w:r>
      <w:r w:rsidR="00F15EA6">
        <w:rPr>
          <w:bCs/>
          <w:sz w:val="22"/>
          <w:szCs w:val="22"/>
          <w:lang w:val="es-ES"/>
        </w:rPr>
        <w:t>25ABK</w:t>
      </w:r>
      <w:r w:rsidRPr="009453E2">
        <w:rPr>
          <w:bCs/>
          <w:sz w:val="22"/>
          <w:szCs w:val="22"/>
          <w:lang w:val="es-ES"/>
        </w:rPr>
        <w:tab/>
      </w:r>
      <w:r w:rsidR="00E2390A">
        <w:rPr>
          <w:bCs/>
          <w:sz w:val="22"/>
          <w:szCs w:val="22"/>
          <w:lang w:val="es-ES"/>
        </w:rPr>
        <w:tab/>
      </w:r>
      <w:r w:rsidR="00E2390A">
        <w:rPr>
          <w:bCs/>
          <w:sz w:val="22"/>
          <w:szCs w:val="22"/>
          <w:lang w:val="es-ES"/>
        </w:rPr>
        <w:tab/>
      </w:r>
      <w:r w:rsidR="00E2390A">
        <w:rPr>
          <w:bCs/>
          <w:sz w:val="22"/>
          <w:szCs w:val="22"/>
          <w:lang w:val="es-ES"/>
        </w:rPr>
        <w:tab/>
      </w:r>
    </w:p>
    <w:p w:rsidR="00FD37E6" w:rsidRPr="00921E3F" w:rsidRDefault="009453E2" w:rsidP="00FD37E6">
      <w:pPr>
        <w:rPr>
          <w:b/>
          <w:sz w:val="22"/>
          <w:szCs w:val="22"/>
        </w:rPr>
      </w:pPr>
      <w:r>
        <w:rPr>
          <w:b/>
          <w:bCs/>
          <w:sz w:val="22"/>
          <w:szCs w:val="22"/>
          <w:lang w:val="es-ES"/>
        </w:rPr>
        <w:tab/>
      </w:r>
      <w:r>
        <w:rPr>
          <w:b/>
          <w:bCs/>
          <w:sz w:val="22"/>
          <w:szCs w:val="22"/>
          <w:lang w:val="es-ES"/>
        </w:rPr>
        <w:tab/>
      </w:r>
      <w:r>
        <w:rPr>
          <w:b/>
          <w:bCs/>
          <w:sz w:val="22"/>
          <w:szCs w:val="22"/>
          <w:lang w:val="es-ES"/>
        </w:rPr>
        <w:tab/>
      </w:r>
      <w:r>
        <w:rPr>
          <w:b/>
          <w:bCs/>
          <w:sz w:val="22"/>
          <w:szCs w:val="22"/>
          <w:lang w:val="es-ES"/>
        </w:rPr>
        <w:tab/>
      </w:r>
      <w:r>
        <w:rPr>
          <w:b/>
          <w:bCs/>
          <w:sz w:val="22"/>
          <w:szCs w:val="22"/>
          <w:lang w:val="es-ES"/>
        </w:rPr>
        <w:tab/>
      </w:r>
      <w:r>
        <w:rPr>
          <w:b/>
          <w:bCs/>
          <w:sz w:val="22"/>
          <w:szCs w:val="22"/>
          <w:lang w:val="es-ES"/>
        </w:rPr>
        <w:tab/>
      </w:r>
      <w:r w:rsidR="00E2390A">
        <w:rPr>
          <w:b/>
          <w:bCs/>
          <w:sz w:val="22"/>
          <w:szCs w:val="22"/>
          <w:lang w:val="es-ES"/>
        </w:rPr>
        <w:t xml:space="preserve">           </w:t>
      </w:r>
      <w:r w:rsidR="00921E3F" w:rsidRPr="00921E3F">
        <w:rPr>
          <w:b/>
          <w:sz w:val="22"/>
          <w:szCs w:val="22"/>
        </w:rPr>
        <w:t>Petition</w:t>
      </w:r>
      <w:r w:rsidR="00E2390A">
        <w:rPr>
          <w:b/>
          <w:sz w:val="22"/>
          <w:szCs w:val="22"/>
        </w:rPr>
        <w:t>s</w:t>
      </w:r>
      <w:r w:rsidR="00921E3F" w:rsidRPr="00921E3F">
        <w:rPr>
          <w:b/>
          <w:sz w:val="22"/>
          <w:szCs w:val="22"/>
        </w:rPr>
        <w:t xml:space="preserve"> for Reconsideration</w:t>
      </w:r>
      <w:r w:rsidR="0056462E" w:rsidRPr="00921E3F">
        <w:rPr>
          <w:b/>
          <w:sz w:val="22"/>
          <w:szCs w:val="22"/>
        </w:rPr>
        <w:t xml:space="preserve"> </w:t>
      </w:r>
    </w:p>
    <w:p w:rsidR="00BB204B" w:rsidRPr="00BB204B" w:rsidRDefault="00BB204B" w:rsidP="00BB204B">
      <w:pPr>
        <w:rPr>
          <w:sz w:val="22"/>
          <w:szCs w:val="22"/>
        </w:rPr>
      </w:pPr>
    </w:p>
    <w:p w:rsidR="00BB204B" w:rsidRDefault="00BB204B" w:rsidP="00BB204B">
      <w:pPr>
        <w:rPr>
          <w:sz w:val="22"/>
          <w:szCs w:val="22"/>
        </w:rPr>
      </w:pPr>
      <w:r w:rsidRPr="00BB204B">
        <w:rPr>
          <w:sz w:val="22"/>
          <w:szCs w:val="22"/>
        </w:rPr>
        <w:t>Dear M</w:t>
      </w:r>
      <w:r w:rsidR="00921E3F">
        <w:rPr>
          <w:sz w:val="22"/>
          <w:szCs w:val="22"/>
        </w:rPr>
        <w:t>r</w:t>
      </w:r>
      <w:r w:rsidRPr="00BB204B">
        <w:rPr>
          <w:sz w:val="22"/>
          <w:szCs w:val="22"/>
        </w:rPr>
        <w:t xml:space="preserve">. </w:t>
      </w:r>
      <w:r w:rsidR="00F15EA6">
        <w:rPr>
          <w:sz w:val="22"/>
          <w:szCs w:val="22"/>
        </w:rPr>
        <w:t>Schober</w:t>
      </w:r>
      <w:r w:rsidRPr="00BB204B">
        <w:rPr>
          <w:sz w:val="22"/>
          <w:szCs w:val="22"/>
        </w:rPr>
        <w:t>:</w:t>
      </w:r>
    </w:p>
    <w:p w:rsidR="00197B0B" w:rsidRPr="00BB204B" w:rsidRDefault="00197B0B" w:rsidP="00BB204B">
      <w:pPr>
        <w:rPr>
          <w:sz w:val="22"/>
          <w:szCs w:val="22"/>
        </w:rPr>
      </w:pPr>
    </w:p>
    <w:p w:rsidR="00BB204B" w:rsidRPr="00BB204B" w:rsidRDefault="00BB204B" w:rsidP="00BB204B">
      <w:pPr>
        <w:rPr>
          <w:sz w:val="22"/>
          <w:szCs w:val="22"/>
        </w:rPr>
      </w:pPr>
      <w:r w:rsidRPr="00BB204B">
        <w:rPr>
          <w:sz w:val="22"/>
          <w:szCs w:val="22"/>
        </w:rPr>
        <w:tab/>
        <w:t xml:space="preserve">This letter concerns the </w:t>
      </w:r>
      <w:r w:rsidR="00A3377C">
        <w:rPr>
          <w:sz w:val="22"/>
          <w:szCs w:val="22"/>
        </w:rPr>
        <w:t xml:space="preserve">referenced </w:t>
      </w:r>
      <w:r w:rsidR="009453E2">
        <w:rPr>
          <w:sz w:val="22"/>
          <w:szCs w:val="22"/>
        </w:rPr>
        <w:t xml:space="preserve">March </w:t>
      </w:r>
      <w:r w:rsidR="00F15EA6">
        <w:rPr>
          <w:sz w:val="22"/>
          <w:szCs w:val="22"/>
        </w:rPr>
        <w:t>25</w:t>
      </w:r>
      <w:r w:rsidR="009453E2">
        <w:rPr>
          <w:sz w:val="22"/>
          <w:szCs w:val="22"/>
        </w:rPr>
        <w:t>, 20</w:t>
      </w:r>
      <w:r w:rsidR="00F15EA6">
        <w:rPr>
          <w:sz w:val="22"/>
          <w:szCs w:val="22"/>
        </w:rPr>
        <w:t>1</w:t>
      </w:r>
      <w:r w:rsidR="009453E2">
        <w:rPr>
          <w:sz w:val="22"/>
          <w:szCs w:val="22"/>
        </w:rPr>
        <w:t>3</w:t>
      </w:r>
      <w:r w:rsidRPr="00BB204B">
        <w:rPr>
          <w:sz w:val="22"/>
          <w:szCs w:val="22"/>
        </w:rPr>
        <w:t>, application</w:t>
      </w:r>
      <w:r w:rsidR="00E2390A">
        <w:rPr>
          <w:sz w:val="22"/>
          <w:szCs w:val="22"/>
        </w:rPr>
        <w:t>s</w:t>
      </w:r>
      <w:r w:rsidRPr="00BB204B">
        <w:rPr>
          <w:sz w:val="22"/>
          <w:szCs w:val="22"/>
        </w:rPr>
        <w:t xml:space="preserve"> (“</w:t>
      </w:r>
      <w:r w:rsidR="00181468">
        <w:rPr>
          <w:sz w:val="22"/>
          <w:szCs w:val="22"/>
        </w:rPr>
        <w:t>Denton</w:t>
      </w:r>
      <w:r w:rsidR="009453E2">
        <w:rPr>
          <w:sz w:val="22"/>
          <w:szCs w:val="22"/>
        </w:rPr>
        <w:t xml:space="preserve"> </w:t>
      </w:r>
      <w:r w:rsidRPr="00BB204B">
        <w:rPr>
          <w:sz w:val="22"/>
          <w:szCs w:val="22"/>
        </w:rPr>
        <w:t>Application</w:t>
      </w:r>
      <w:r w:rsidR="00F90D96">
        <w:rPr>
          <w:sz w:val="22"/>
          <w:szCs w:val="22"/>
        </w:rPr>
        <w:t>s</w:t>
      </w:r>
      <w:r w:rsidRPr="00BB204B">
        <w:rPr>
          <w:sz w:val="22"/>
          <w:szCs w:val="22"/>
        </w:rPr>
        <w:t xml:space="preserve">”) filed by </w:t>
      </w:r>
      <w:r w:rsidR="00F15EA6">
        <w:rPr>
          <w:sz w:val="22"/>
          <w:szCs w:val="22"/>
        </w:rPr>
        <w:t>Edward A. Schober</w:t>
      </w:r>
      <w:r w:rsidR="009453E2">
        <w:rPr>
          <w:sz w:val="22"/>
          <w:szCs w:val="22"/>
        </w:rPr>
        <w:t xml:space="preserve"> </w:t>
      </w:r>
      <w:r w:rsidRPr="00BB204B">
        <w:rPr>
          <w:sz w:val="22"/>
          <w:szCs w:val="22"/>
        </w:rPr>
        <w:t>(“</w:t>
      </w:r>
      <w:r w:rsidR="00F15EA6">
        <w:rPr>
          <w:sz w:val="22"/>
          <w:szCs w:val="22"/>
        </w:rPr>
        <w:t>Schober</w:t>
      </w:r>
      <w:r w:rsidRPr="00BB204B">
        <w:rPr>
          <w:sz w:val="22"/>
          <w:szCs w:val="22"/>
        </w:rPr>
        <w:t xml:space="preserve">”) </w:t>
      </w:r>
      <w:r w:rsidR="009453E2">
        <w:rPr>
          <w:sz w:val="22"/>
          <w:szCs w:val="22"/>
        </w:rPr>
        <w:t>for construction permit</w:t>
      </w:r>
      <w:r w:rsidR="00E2390A">
        <w:rPr>
          <w:sz w:val="22"/>
          <w:szCs w:val="22"/>
        </w:rPr>
        <w:t>s</w:t>
      </w:r>
      <w:r w:rsidR="009453E2">
        <w:rPr>
          <w:sz w:val="22"/>
          <w:szCs w:val="22"/>
        </w:rPr>
        <w:t xml:space="preserve"> for new FM </w:t>
      </w:r>
      <w:r w:rsidR="00174F90">
        <w:rPr>
          <w:sz w:val="22"/>
          <w:szCs w:val="22"/>
        </w:rPr>
        <w:t>t</w:t>
      </w:r>
      <w:r w:rsidR="009453E2">
        <w:rPr>
          <w:sz w:val="22"/>
          <w:szCs w:val="22"/>
        </w:rPr>
        <w:t xml:space="preserve">ranslator </w:t>
      </w:r>
      <w:r w:rsidR="00174F90">
        <w:rPr>
          <w:sz w:val="22"/>
          <w:szCs w:val="22"/>
        </w:rPr>
        <w:t>s</w:t>
      </w:r>
      <w:r w:rsidR="009453E2">
        <w:rPr>
          <w:sz w:val="22"/>
          <w:szCs w:val="22"/>
        </w:rPr>
        <w:t>tation</w:t>
      </w:r>
      <w:r w:rsidR="00E2390A">
        <w:rPr>
          <w:sz w:val="22"/>
          <w:szCs w:val="22"/>
        </w:rPr>
        <w:t>s</w:t>
      </w:r>
      <w:r w:rsidR="009453E2">
        <w:rPr>
          <w:sz w:val="22"/>
          <w:szCs w:val="22"/>
        </w:rPr>
        <w:t xml:space="preserve"> at </w:t>
      </w:r>
      <w:r w:rsidR="00181468">
        <w:rPr>
          <w:sz w:val="22"/>
          <w:szCs w:val="22"/>
        </w:rPr>
        <w:t>Denton</w:t>
      </w:r>
      <w:r w:rsidR="00F15EA6">
        <w:rPr>
          <w:sz w:val="22"/>
          <w:szCs w:val="22"/>
        </w:rPr>
        <w:t xml:space="preserve">, </w:t>
      </w:r>
      <w:r w:rsidR="00181468">
        <w:rPr>
          <w:sz w:val="22"/>
          <w:szCs w:val="22"/>
        </w:rPr>
        <w:t>Maryland</w:t>
      </w:r>
      <w:r w:rsidR="00F90D96">
        <w:rPr>
          <w:sz w:val="22"/>
          <w:szCs w:val="22"/>
        </w:rPr>
        <w:t xml:space="preserve">.  </w:t>
      </w:r>
      <w:r w:rsidR="003F3D53">
        <w:rPr>
          <w:sz w:val="22"/>
          <w:szCs w:val="22"/>
        </w:rPr>
        <w:t xml:space="preserve">The staff dismissed the </w:t>
      </w:r>
      <w:r w:rsidR="00181468">
        <w:rPr>
          <w:sz w:val="22"/>
          <w:szCs w:val="22"/>
        </w:rPr>
        <w:t>Denton</w:t>
      </w:r>
      <w:r w:rsidR="003F3D53">
        <w:rPr>
          <w:sz w:val="22"/>
          <w:szCs w:val="22"/>
        </w:rPr>
        <w:t xml:space="preserve"> Application</w:t>
      </w:r>
      <w:r w:rsidR="00F90D96">
        <w:rPr>
          <w:sz w:val="22"/>
          <w:szCs w:val="22"/>
        </w:rPr>
        <w:t>s</w:t>
      </w:r>
      <w:r w:rsidR="00DE515B">
        <w:rPr>
          <w:sz w:val="22"/>
          <w:szCs w:val="22"/>
        </w:rPr>
        <w:t xml:space="preserve"> on </w:t>
      </w:r>
      <w:r w:rsidR="00F15EA6">
        <w:rPr>
          <w:sz w:val="22"/>
          <w:szCs w:val="22"/>
        </w:rPr>
        <w:t>April 9, 2013</w:t>
      </w:r>
      <w:r w:rsidR="003F3D53">
        <w:rPr>
          <w:sz w:val="22"/>
          <w:szCs w:val="22"/>
        </w:rPr>
        <w:t>.</w:t>
      </w:r>
      <w:r w:rsidR="00DE515B" w:rsidRPr="00DE515B">
        <w:rPr>
          <w:sz w:val="22"/>
          <w:szCs w:val="22"/>
          <w:vertAlign w:val="superscript"/>
        </w:rPr>
        <w:footnoteReference w:id="2"/>
      </w:r>
      <w:r w:rsidR="00DA4596">
        <w:rPr>
          <w:sz w:val="22"/>
          <w:szCs w:val="22"/>
        </w:rPr>
        <w:t xml:space="preserve"> </w:t>
      </w:r>
      <w:r w:rsidR="003F3D53">
        <w:rPr>
          <w:sz w:val="22"/>
          <w:szCs w:val="22"/>
        </w:rPr>
        <w:t xml:space="preserve"> </w:t>
      </w:r>
      <w:r w:rsidR="00A3377C">
        <w:rPr>
          <w:sz w:val="22"/>
          <w:szCs w:val="22"/>
        </w:rPr>
        <w:t>O</w:t>
      </w:r>
      <w:r w:rsidR="00F90D96">
        <w:rPr>
          <w:sz w:val="22"/>
          <w:szCs w:val="22"/>
        </w:rPr>
        <w:t>n</w:t>
      </w:r>
      <w:r w:rsidR="003F3D53">
        <w:rPr>
          <w:sz w:val="22"/>
          <w:szCs w:val="22"/>
        </w:rPr>
        <w:t xml:space="preserve"> </w:t>
      </w:r>
      <w:r w:rsidR="00F90D96">
        <w:rPr>
          <w:sz w:val="22"/>
          <w:szCs w:val="22"/>
        </w:rPr>
        <w:t>May 1, 2013</w:t>
      </w:r>
      <w:r w:rsidR="009E0FA7">
        <w:rPr>
          <w:sz w:val="22"/>
          <w:szCs w:val="22"/>
        </w:rPr>
        <w:t xml:space="preserve">, </w:t>
      </w:r>
      <w:r w:rsidR="00A3377C">
        <w:rPr>
          <w:sz w:val="22"/>
          <w:szCs w:val="22"/>
        </w:rPr>
        <w:t xml:space="preserve">Schober </w:t>
      </w:r>
      <w:r w:rsidR="009E0FA7">
        <w:rPr>
          <w:sz w:val="22"/>
          <w:szCs w:val="22"/>
        </w:rPr>
        <w:t>filed</w:t>
      </w:r>
      <w:r w:rsidR="00F90D96">
        <w:rPr>
          <w:sz w:val="22"/>
          <w:szCs w:val="22"/>
        </w:rPr>
        <w:t xml:space="preserve"> two </w:t>
      </w:r>
      <w:r w:rsidR="00D16B9C">
        <w:rPr>
          <w:sz w:val="22"/>
          <w:szCs w:val="22"/>
        </w:rPr>
        <w:t xml:space="preserve">nearly </w:t>
      </w:r>
      <w:r w:rsidR="00F90D96">
        <w:rPr>
          <w:sz w:val="22"/>
          <w:szCs w:val="22"/>
        </w:rPr>
        <w:t xml:space="preserve">identical </w:t>
      </w:r>
      <w:r w:rsidR="00E519D5">
        <w:rPr>
          <w:sz w:val="22"/>
          <w:szCs w:val="22"/>
        </w:rPr>
        <w:t>Petition</w:t>
      </w:r>
      <w:r w:rsidR="00F90D96">
        <w:rPr>
          <w:sz w:val="22"/>
          <w:szCs w:val="22"/>
        </w:rPr>
        <w:t>s</w:t>
      </w:r>
      <w:r w:rsidR="00E519D5">
        <w:rPr>
          <w:sz w:val="22"/>
          <w:szCs w:val="22"/>
        </w:rPr>
        <w:t xml:space="preserve"> for Reconsideration (</w:t>
      </w:r>
      <w:r w:rsidR="00F90D96">
        <w:rPr>
          <w:sz w:val="22"/>
          <w:szCs w:val="22"/>
        </w:rPr>
        <w:t xml:space="preserve">collectively, the </w:t>
      </w:r>
      <w:r w:rsidR="00E519D5">
        <w:rPr>
          <w:sz w:val="22"/>
          <w:szCs w:val="22"/>
        </w:rPr>
        <w:t>“Petition</w:t>
      </w:r>
      <w:r w:rsidR="00A3377C">
        <w:rPr>
          <w:sz w:val="22"/>
          <w:szCs w:val="22"/>
        </w:rPr>
        <w:t>s</w:t>
      </w:r>
      <w:r w:rsidR="00E519D5">
        <w:rPr>
          <w:sz w:val="22"/>
          <w:szCs w:val="22"/>
        </w:rPr>
        <w:t>”)</w:t>
      </w:r>
      <w:r w:rsidR="00EA3C60">
        <w:rPr>
          <w:sz w:val="22"/>
          <w:szCs w:val="22"/>
        </w:rPr>
        <w:t>, seeking</w:t>
      </w:r>
      <w:r w:rsidR="00E519D5">
        <w:rPr>
          <w:sz w:val="22"/>
          <w:szCs w:val="22"/>
        </w:rPr>
        <w:t xml:space="preserve"> reinstatement of </w:t>
      </w:r>
      <w:r w:rsidR="005B4A5C">
        <w:rPr>
          <w:sz w:val="22"/>
          <w:szCs w:val="22"/>
        </w:rPr>
        <w:t xml:space="preserve">each of </w:t>
      </w:r>
      <w:r w:rsidR="00B15133">
        <w:rPr>
          <w:sz w:val="22"/>
          <w:szCs w:val="22"/>
        </w:rPr>
        <w:t xml:space="preserve">the </w:t>
      </w:r>
      <w:r w:rsidR="00662124">
        <w:rPr>
          <w:sz w:val="22"/>
          <w:szCs w:val="22"/>
        </w:rPr>
        <w:t>De</w:t>
      </w:r>
      <w:r w:rsidR="00181468">
        <w:rPr>
          <w:sz w:val="22"/>
          <w:szCs w:val="22"/>
        </w:rPr>
        <w:t>nton</w:t>
      </w:r>
      <w:r w:rsidR="00E519D5">
        <w:rPr>
          <w:sz w:val="22"/>
          <w:szCs w:val="22"/>
        </w:rPr>
        <w:t xml:space="preserve"> Application</w:t>
      </w:r>
      <w:r w:rsidR="00B15133">
        <w:rPr>
          <w:sz w:val="22"/>
          <w:szCs w:val="22"/>
        </w:rPr>
        <w:t>s</w:t>
      </w:r>
      <w:r w:rsidR="000D4711">
        <w:rPr>
          <w:sz w:val="22"/>
          <w:szCs w:val="22"/>
        </w:rPr>
        <w:t xml:space="preserve"> </w:t>
      </w:r>
      <w:r w:rsidR="00B15133">
        <w:rPr>
          <w:sz w:val="22"/>
          <w:szCs w:val="22"/>
        </w:rPr>
        <w:t xml:space="preserve">as well as </w:t>
      </w:r>
      <w:r w:rsidR="000D4711">
        <w:rPr>
          <w:sz w:val="22"/>
          <w:szCs w:val="22"/>
        </w:rPr>
        <w:t>leave to amend</w:t>
      </w:r>
      <w:r w:rsidR="00B15133">
        <w:rPr>
          <w:sz w:val="22"/>
          <w:szCs w:val="22"/>
        </w:rPr>
        <w:t xml:space="preserve"> those applications</w:t>
      </w:r>
      <w:r w:rsidR="00DE515B">
        <w:rPr>
          <w:sz w:val="22"/>
          <w:szCs w:val="22"/>
        </w:rPr>
        <w:t xml:space="preserve">.  </w:t>
      </w:r>
      <w:r w:rsidRPr="00BB204B">
        <w:rPr>
          <w:sz w:val="22"/>
          <w:szCs w:val="22"/>
        </w:rPr>
        <w:t xml:space="preserve">For the reasons set forth below, we deny </w:t>
      </w:r>
      <w:r w:rsidR="00AD242D">
        <w:rPr>
          <w:sz w:val="22"/>
          <w:szCs w:val="22"/>
        </w:rPr>
        <w:t>the</w:t>
      </w:r>
      <w:r w:rsidR="00E519D5">
        <w:rPr>
          <w:sz w:val="22"/>
          <w:szCs w:val="22"/>
        </w:rPr>
        <w:t xml:space="preserve"> Petition</w:t>
      </w:r>
      <w:r w:rsidR="00A3377C">
        <w:rPr>
          <w:sz w:val="22"/>
          <w:szCs w:val="22"/>
        </w:rPr>
        <w:t>s</w:t>
      </w:r>
      <w:r w:rsidR="00AD242D">
        <w:rPr>
          <w:sz w:val="22"/>
          <w:szCs w:val="22"/>
        </w:rPr>
        <w:t>.</w:t>
      </w:r>
      <w:r w:rsidRPr="00BB204B">
        <w:rPr>
          <w:sz w:val="22"/>
          <w:szCs w:val="22"/>
        </w:rPr>
        <w:t xml:space="preserve">  </w:t>
      </w:r>
    </w:p>
    <w:p w:rsidR="00BB204B" w:rsidRPr="00BB204B" w:rsidRDefault="00BB204B" w:rsidP="00BB204B">
      <w:pPr>
        <w:rPr>
          <w:sz w:val="22"/>
          <w:szCs w:val="22"/>
        </w:rPr>
      </w:pPr>
    </w:p>
    <w:p w:rsidR="00740035" w:rsidRDefault="00BB204B" w:rsidP="00310649">
      <w:pPr>
        <w:rPr>
          <w:sz w:val="22"/>
          <w:szCs w:val="22"/>
        </w:rPr>
      </w:pPr>
      <w:r w:rsidRPr="00BB204B">
        <w:rPr>
          <w:sz w:val="22"/>
          <w:szCs w:val="22"/>
        </w:rPr>
        <w:t xml:space="preserve"> </w:t>
      </w:r>
      <w:r w:rsidRPr="00BB204B">
        <w:rPr>
          <w:sz w:val="22"/>
          <w:szCs w:val="22"/>
        </w:rPr>
        <w:tab/>
      </w:r>
      <w:r w:rsidRPr="00BB204B">
        <w:rPr>
          <w:b/>
          <w:sz w:val="22"/>
          <w:szCs w:val="22"/>
        </w:rPr>
        <w:t>Background</w:t>
      </w:r>
      <w:r w:rsidRPr="00BB204B">
        <w:rPr>
          <w:sz w:val="22"/>
          <w:szCs w:val="22"/>
        </w:rPr>
        <w:t xml:space="preserve">.  </w:t>
      </w:r>
      <w:r w:rsidR="000D4711">
        <w:rPr>
          <w:sz w:val="22"/>
          <w:szCs w:val="22"/>
        </w:rPr>
        <w:t xml:space="preserve">Schober filed </w:t>
      </w:r>
      <w:r w:rsidR="004F25C2" w:rsidRPr="004F25C2">
        <w:rPr>
          <w:sz w:val="22"/>
          <w:szCs w:val="22"/>
        </w:rPr>
        <w:t>application</w:t>
      </w:r>
      <w:r w:rsidR="00FC2AC0">
        <w:rPr>
          <w:sz w:val="22"/>
          <w:szCs w:val="22"/>
        </w:rPr>
        <w:t>s</w:t>
      </w:r>
      <w:r w:rsidR="004F25C2" w:rsidRPr="004F25C2">
        <w:rPr>
          <w:sz w:val="22"/>
          <w:szCs w:val="22"/>
          <w:vertAlign w:val="superscript"/>
        </w:rPr>
        <w:footnoteReference w:id="3"/>
      </w:r>
      <w:r w:rsidR="004F25C2" w:rsidRPr="004F25C2">
        <w:rPr>
          <w:sz w:val="22"/>
          <w:szCs w:val="22"/>
        </w:rPr>
        <w:t xml:space="preserve"> </w:t>
      </w:r>
      <w:r w:rsidR="006F08B5">
        <w:rPr>
          <w:sz w:val="22"/>
          <w:szCs w:val="22"/>
        </w:rPr>
        <w:t>for construction permit</w:t>
      </w:r>
      <w:r w:rsidR="00FC2AC0">
        <w:rPr>
          <w:sz w:val="22"/>
          <w:szCs w:val="22"/>
        </w:rPr>
        <w:t>s</w:t>
      </w:r>
      <w:r w:rsidR="006F08B5">
        <w:rPr>
          <w:sz w:val="22"/>
          <w:szCs w:val="22"/>
        </w:rPr>
        <w:t xml:space="preserve"> for </w:t>
      </w:r>
      <w:r w:rsidR="00FC2AC0">
        <w:rPr>
          <w:sz w:val="22"/>
          <w:szCs w:val="22"/>
        </w:rPr>
        <w:t xml:space="preserve">two </w:t>
      </w:r>
      <w:r w:rsidR="006F08B5">
        <w:rPr>
          <w:sz w:val="22"/>
          <w:szCs w:val="22"/>
        </w:rPr>
        <w:t>new FM translator station</w:t>
      </w:r>
      <w:r w:rsidR="00FC2AC0">
        <w:rPr>
          <w:sz w:val="22"/>
          <w:szCs w:val="22"/>
        </w:rPr>
        <w:t>s</w:t>
      </w:r>
      <w:r w:rsidR="006F08B5">
        <w:rPr>
          <w:sz w:val="22"/>
          <w:szCs w:val="22"/>
        </w:rPr>
        <w:t xml:space="preserve"> at Rio Grande, New Jersey, </w:t>
      </w:r>
      <w:r w:rsidR="004F25C2" w:rsidRPr="004F25C2">
        <w:rPr>
          <w:sz w:val="22"/>
          <w:szCs w:val="22"/>
        </w:rPr>
        <w:t xml:space="preserve">in the March 2003 FM non-reserved band </w:t>
      </w:r>
      <w:r w:rsidR="00FC2AC0">
        <w:rPr>
          <w:sz w:val="22"/>
          <w:szCs w:val="22"/>
        </w:rPr>
        <w:t xml:space="preserve">FM </w:t>
      </w:r>
      <w:r w:rsidR="004F25C2" w:rsidRPr="004F25C2">
        <w:rPr>
          <w:sz w:val="22"/>
          <w:szCs w:val="22"/>
        </w:rPr>
        <w:t>translator (Auction 83) filing window.</w:t>
      </w:r>
      <w:r w:rsidR="004F25C2" w:rsidRPr="004F25C2">
        <w:rPr>
          <w:sz w:val="22"/>
          <w:szCs w:val="22"/>
          <w:vertAlign w:val="superscript"/>
        </w:rPr>
        <w:footnoteReference w:id="4"/>
      </w:r>
      <w:r w:rsidR="004F25C2">
        <w:rPr>
          <w:sz w:val="22"/>
          <w:szCs w:val="22"/>
        </w:rPr>
        <w:t xml:space="preserve">  </w:t>
      </w:r>
      <w:r w:rsidR="00F27ACF">
        <w:rPr>
          <w:sz w:val="22"/>
          <w:szCs w:val="22"/>
        </w:rPr>
        <w:t xml:space="preserve">The Rio Grande Applications were determined to be “singletons,” and Schober was invited to file a </w:t>
      </w:r>
      <w:r w:rsidR="00DB66C3">
        <w:rPr>
          <w:sz w:val="22"/>
          <w:szCs w:val="22"/>
        </w:rPr>
        <w:t xml:space="preserve">Form 349 </w:t>
      </w:r>
      <w:r w:rsidR="00DC2C6A">
        <w:rPr>
          <w:sz w:val="22"/>
          <w:szCs w:val="22"/>
        </w:rPr>
        <w:t>long-</w:t>
      </w:r>
      <w:r w:rsidR="00F27ACF">
        <w:rPr>
          <w:sz w:val="22"/>
          <w:szCs w:val="22"/>
        </w:rPr>
        <w:t>form construction permit application for each facility.</w:t>
      </w:r>
      <w:r w:rsidR="00F27ACF">
        <w:rPr>
          <w:rStyle w:val="FootnoteReference"/>
          <w:sz w:val="22"/>
          <w:szCs w:val="22"/>
        </w:rPr>
        <w:footnoteReference w:id="5"/>
      </w:r>
      <w:r w:rsidR="00F27ACF">
        <w:rPr>
          <w:sz w:val="22"/>
          <w:szCs w:val="22"/>
        </w:rPr>
        <w:t xml:space="preserve">  </w:t>
      </w:r>
      <w:r w:rsidR="004F25C2">
        <w:rPr>
          <w:sz w:val="22"/>
          <w:szCs w:val="22"/>
        </w:rPr>
        <w:t>On March 25, 2013, he filed</w:t>
      </w:r>
      <w:r w:rsidR="004F25C2" w:rsidRPr="004F25C2">
        <w:rPr>
          <w:sz w:val="22"/>
          <w:szCs w:val="22"/>
        </w:rPr>
        <w:t xml:space="preserve"> </w:t>
      </w:r>
      <w:r w:rsidR="00EA0D0F">
        <w:rPr>
          <w:sz w:val="22"/>
          <w:szCs w:val="22"/>
        </w:rPr>
        <w:t>the two</w:t>
      </w:r>
      <w:r w:rsidR="00FC6321">
        <w:rPr>
          <w:sz w:val="22"/>
          <w:szCs w:val="22"/>
        </w:rPr>
        <w:t xml:space="preserve"> </w:t>
      </w:r>
      <w:r w:rsidR="00DC2C6A">
        <w:rPr>
          <w:sz w:val="22"/>
          <w:szCs w:val="22"/>
        </w:rPr>
        <w:t>long-</w:t>
      </w:r>
      <w:r w:rsidR="00FC6321">
        <w:rPr>
          <w:sz w:val="22"/>
          <w:szCs w:val="22"/>
        </w:rPr>
        <w:t>form</w:t>
      </w:r>
      <w:r w:rsidR="000D4711">
        <w:rPr>
          <w:sz w:val="22"/>
          <w:szCs w:val="22"/>
        </w:rPr>
        <w:t xml:space="preserve"> </w:t>
      </w:r>
      <w:r w:rsidR="00181468">
        <w:rPr>
          <w:sz w:val="22"/>
          <w:szCs w:val="22"/>
        </w:rPr>
        <w:t>Denton</w:t>
      </w:r>
      <w:r w:rsidR="000D4711">
        <w:rPr>
          <w:sz w:val="22"/>
          <w:szCs w:val="22"/>
        </w:rPr>
        <w:t xml:space="preserve"> Application</w:t>
      </w:r>
      <w:r w:rsidR="00F90D96">
        <w:rPr>
          <w:sz w:val="22"/>
          <w:szCs w:val="22"/>
        </w:rPr>
        <w:t>s</w:t>
      </w:r>
      <w:r w:rsidR="00734F2C">
        <w:rPr>
          <w:sz w:val="22"/>
          <w:szCs w:val="22"/>
        </w:rPr>
        <w:t xml:space="preserve"> in which he:</w:t>
      </w:r>
      <w:r w:rsidR="00FC6321">
        <w:rPr>
          <w:sz w:val="22"/>
          <w:szCs w:val="22"/>
        </w:rPr>
        <w:t xml:space="preserve"> </w:t>
      </w:r>
      <w:r w:rsidR="00734F2C">
        <w:rPr>
          <w:sz w:val="22"/>
          <w:szCs w:val="22"/>
        </w:rPr>
        <w:t xml:space="preserve">(1) </w:t>
      </w:r>
      <w:r w:rsidR="00FC6321">
        <w:rPr>
          <w:sz w:val="22"/>
          <w:szCs w:val="22"/>
        </w:rPr>
        <w:t>propos</w:t>
      </w:r>
      <w:r w:rsidR="00734F2C">
        <w:rPr>
          <w:sz w:val="22"/>
          <w:szCs w:val="22"/>
        </w:rPr>
        <w:t>ed</w:t>
      </w:r>
      <w:r w:rsidR="00FC6321">
        <w:rPr>
          <w:sz w:val="22"/>
          <w:szCs w:val="22"/>
        </w:rPr>
        <w:t xml:space="preserve"> a minor </w:t>
      </w:r>
      <w:r w:rsidR="009F2E51">
        <w:rPr>
          <w:sz w:val="22"/>
          <w:szCs w:val="22"/>
        </w:rPr>
        <w:t>chang</w:t>
      </w:r>
      <w:r w:rsidR="00FC6321">
        <w:rPr>
          <w:sz w:val="22"/>
          <w:szCs w:val="22"/>
        </w:rPr>
        <w:t xml:space="preserve">e in </w:t>
      </w:r>
      <w:r w:rsidR="00F55422">
        <w:rPr>
          <w:sz w:val="22"/>
          <w:szCs w:val="22"/>
        </w:rPr>
        <w:t>the transmitter site</w:t>
      </w:r>
      <w:r w:rsidR="00FC2AC0">
        <w:rPr>
          <w:sz w:val="22"/>
          <w:szCs w:val="22"/>
        </w:rPr>
        <w:t>s</w:t>
      </w:r>
      <w:r w:rsidR="002F7753">
        <w:rPr>
          <w:sz w:val="22"/>
          <w:szCs w:val="22"/>
        </w:rPr>
        <w:t xml:space="preserve"> </w:t>
      </w:r>
      <w:r w:rsidR="00F55422">
        <w:rPr>
          <w:sz w:val="22"/>
          <w:szCs w:val="22"/>
        </w:rPr>
        <w:t xml:space="preserve">of </w:t>
      </w:r>
      <w:r w:rsidR="00FC2AC0">
        <w:rPr>
          <w:sz w:val="22"/>
          <w:szCs w:val="22"/>
        </w:rPr>
        <w:t xml:space="preserve">each of </w:t>
      </w:r>
      <w:r w:rsidR="004F25C2">
        <w:rPr>
          <w:sz w:val="22"/>
          <w:szCs w:val="22"/>
        </w:rPr>
        <w:t xml:space="preserve">the </w:t>
      </w:r>
      <w:r w:rsidR="009700B1">
        <w:rPr>
          <w:sz w:val="22"/>
          <w:szCs w:val="22"/>
        </w:rPr>
        <w:t xml:space="preserve">Rio Grande </w:t>
      </w:r>
      <w:r w:rsidR="004F25C2">
        <w:rPr>
          <w:sz w:val="22"/>
          <w:szCs w:val="22"/>
        </w:rPr>
        <w:t>Application</w:t>
      </w:r>
      <w:r w:rsidR="00FC2AC0">
        <w:rPr>
          <w:sz w:val="22"/>
          <w:szCs w:val="22"/>
        </w:rPr>
        <w:t>s</w:t>
      </w:r>
      <w:r w:rsidR="00734F2C">
        <w:rPr>
          <w:sz w:val="22"/>
          <w:szCs w:val="22"/>
        </w:rPr>
        <w:t>;</w:t>
      </w:r>
      <w:r w:rsidR="009F2E51">
        <w:rPr>
          <w:sz w:val="22"/>
          <w:szCs w:val="22"/>
        </w:rPr>
        <w:t xml:space="preserve"> </w:t>
      </w:r>
      <w:r w:rsidR="00734F2C">
        <w:rPr>
          <w:sz w:val="22"/>
          <w:szCs w:val="22"/>
        </w:rPr>
        <w:t>(2) s</w:t>
      </w:r>
      <w:r w:rsidR="009F2E51">
        <w:rPr>
          <w:sz w:val="22"/>
          <w:szCs w:val="22"/>
        </w:rPr>
        <w:t>pecifi</w:t>
      </w:r>
      <w:r w:rsidR="00734F2C">
        <w:rPr>
          <w:sz w:val="22"/>
          <w:szCs w:val="22"/>
        </w:rPr>
        <w:t>ed</w:t>
      </w:r>
      <w:r w:rsidR="009F2E51">
        <w:rPr>
          <w:sz w:val="22"/>
          <w:szCs w:val="22"/>
        </w:rPr>
        <w:t xml:space="preserve"> Denton, Maryland, as the proposed stations’ community of license</w:t>
      </w:r>
      <w:r w:rsidR="00734F2C">
        <w:rPr>
          <w:sz w:val="22"/>
          <w:szCs w:val="22"/>
        </w:rPr>
        <w:t>;</w:t>
      </w:r>
      <w:r w:rsidR="009F2E51">
        <w:rPr>
          <w:sz w:val="22"/>
          <w:szCs w:val="22"/>
        </w:rPr>
        <w:t xml:space="preserve"> and </w:t>
      </w:r>
      <w:r w:rsidR="00734F2C">
        <w:rPr>
          <w:sz w:val="22"/>
          <w:szCs w:val="22"/>
        </w:rPr>
        <w:t xml:space="preserve">(3) </w:t>
      </w:r>
      <w:r w:rsidR="009F2E51">
        <w:rPr>
          <w:sz w:val="22"/>
          <w:szCs w:val="22"/>
        </w:rPr>
        <w:t>chang</w:t>
      </w:r>
      <w:r w:rsidR="00734F2C">
        <w:rPr>
          <w:sz w:val="22"/>
          <w:szCs w:val="22"/>
        </w:rPr>
        <w:t>ed</w:t>
      </w:r>
      <w:r w:rsidR="009F2E51">
        <w:rPr>
          <w:sz w:val="22"/>
          <w:szCs w:val="22"/>
        </w:rPr>
        <w:t xml:space="preserve"> the primary </w:t>
      </w:r>
      <w:r w:rsidR="000C791D">
        <w:rPr>
          <w:sz w:val="22"/>
          <w:szCs w:val="22"/>
        </w:rPr>
        <w:t>stations to be re</w:t>
      </w:r>
      <w:r w:rsidR="009F2E51">
        <w:rPr>
          <w:sz w:val="22"/>
          <w:szCs w:val="22"/>
        </w:rPr>
        <w:t>broadcast.</w:t>
      </w:r>
      <w:r w:rsidR="00B111D5">
        <w:rPr>
          <w:sz w:val="22"/>
          <w:szCs w:val="22"/>
        </w:rPr>
        <w:t xml:space="preserve">  </w:t>
      </w:r>
      <w:r w:rsidR="005376BD">
        <w:rPr>
          <w:sz w:val="22"/>
          <w:szCs w:val="22"/>
        </w:rPr>
        <w:t>Each</w:t>
      </w:r>
      <w:r w:rsidR="006B21BD">
        <w:rPr>
          <w:sz w:val="22"/>
          <w:szCs w:val="22"/>
        </w:rPr>
        <w:t xml:space="preserve"> </w:t>
      </w:r>
      <w:r w:rsidR="00F55422">
        <w:rPr>
          <w:sz w:val="22"/>
          <w:szCs w:val="22"/>
        </w:rPr>
        <w:t>new</w:t>
      </w:r>
      <w:r w:rsidR="00B3189E">
        <w:rPr>
          <w:sz w:val="22"/>
          <w:szCs w:val="22"/>
        </w:rPr>
        <w:t>ly</w:t>
      </w:r>
      <w:r w:rsidR="0067254C">
        <w:rPr>
          <w:sz w:val="22"/>
          <w:szCs w:val="22"/>
        </w:rPr>
        <w:t>-</w:t>
      </w:r>
      <w:r w:rsidR="00F55422">
        <w:rPr>
          <w:sz w:val="22"/>
          <w:szCs w:val="22"/>
        </w:rPr>
        <w:lastRenderedPageBreak/>
        <w:t>proposed</w:t>
      </w:r>
      <w:r w:rsidR="00B3189E">
        <w:rPr>
          <w:sz w:val="22"/>
          <w:szCs w:val="22"/>
        </w:rPr>
        <w:t xml:space="preserve"> Denton </w:t>
      </w:r>
      <w:r w:rsidR="006B21BD">
        <w:rPr>
          <w:sz w:val="22"/>
          <w:szCs w:val="22"/>
        </w:rPr>
        <w:t>site</w:t>
      </w:r>
      <w:r w:rsidR="00037CCF">
        <w:rPr>
          <w:sz w:val="22"/>
          <w:szCs w:val="22"/>
        </w:rPr>
        <w:t xml:space="preserve"> </w:t>
      </w:r>
      <w:r w:rsidR="005376BD">
        <w:rPr>
          <w:sz w:val="22"/>
          <w:szCs w:val="22"/>
        </w:rPr>
        <w:t>was</w:t>
      </w:r>
      <w:r w:rsidR="00037CCF">
        <w:rPr>
          <w:sz w:val="22"/>
          <w:szCs w:val="22"/>
        </w:rPr>
        <w:t xml:space="preserve"> </w:t>
      </w:r>
      <w:r w:rsidR="00427189">
        <w:rPr>
          <w:sz w:val="22"/>
          <w:szCs w:val="22"/>
        </w:rPr>
        <w:t>in the</w:t>
      </w:r>
      <w:r w:rsidR="006D5D74">
        <w:rPr>
          <w:sz w:val="22"/>
          <w:szCs w:val="22"/>
        </w:rPr>
        <w:t xml:space="preserve"> “buffer zone” </w:t>
      </w:r>
      <w:r w:rsidR="009E0FA7">
        <w:rPr>
          <w:sz w:val="22"/>
          <w:szCs w:val="22"/>
        </w:rPr>
        <w:t>of</w:t>
      </w:r>
      <w:r w:rsidR="00A3377C">
        <w:rPr>
          <w:sz w:val="22"/>
          <w:szCs w:val="22"/>
        </w:rPr>
        <w:t xml:space="preserve"> </w:t>
      </w:r>
      <w:r w:rsidR="00F27ACF">
        <w:rPr>
          <w:sz w:val="22"/>
          <w:szCs w:val="22"/>
        </w:rPr>
        <w:t xml:space="preserve">the </w:t>
      </w:r>
      <w:r w:rsidR="00A3377C">
        <w:rPr>
          <w:sz w:val="22"/>
          <w:szCs w:val="22"/>
        </w:rPr>
        <w:t>spectrum-available</w:t>
      </w:r>
      <w:r w:rsidR="00236FF4">
        <w:rPr>
          <w:sz w:val="22"/>
          <w:szCs w:val="22"/>
        </w:rPr>
        <w:t xml:space="preserve"> </w:t>
      </w:r>
      <w:r w:rsidR="009E0FA7">
        <w:rPr>
          <w:sz w:val="22"/>
          <w:szCs w:val="22"/>
        </w:rPr>
        <w:t>“</w:t>
      </w:r>
      <w:r w:rsidR="00E90CE2">
        <w:rPr>
          <w:sz w:val="22"/>
          <w:szCs w:val="22"/>
        </w:rPr>
        <w:t xml:space="preserve">Appendix </w:t>
      </w:r>
      <w:r w:rsidR="00037CCF">
        <w:rPr>
          <w:sz w:val="22"/>
          <w:szCs w:val="22"/>
        </w:rPr>
        <w:t>B</w:t>
      </w:r>
      <w:r w:rsidR="00E90CE2">
        <w:rPr>
          <w:sz w:val="22"/>
          <w:szCs w:val="22"/>
        </w:rPr>
        <w:t>” market</w:t>
      </w:r>
      <w:r w:rsidR="006B21BD">
        <w:rPr>
          <w:sz w:val="22"/>
          <w:szCs w:val="22"/>
        </w:rPr>
        <w:t xml:space="preserve"> </w:t>
      </w:r>
      <w:r w:rsidR="00070C84">
        <w:rPr>
          <w:sz w:val="22"/>
          <w:szCs w:val="22"/>
        </w:rPr>
        <w:t xml:space="preserve">of </w:t>
      </w:r>
      <w:r w:rsidR="00037CCF">
        <w:rPr>
          <w:sz w:val="22"/>
          <w:szCs w:val="22"/>
        </w:rPr>
        <w:t>Ocean City/Salisbury, Maryland</w:t>
      </w:r>
      <w:r w:rsidR="005B4A5C">
        <w:rPr>
          <w:i/>
          <w:sz w:val="22"/>
          <w:szCs w:val="22"/>
        </w:rPr>
        <w:t>.</w:t>
      </w:r>
      <w:r w:rsidR="00F812FD" w:rsidRPr="00F812FD">
        <w:rPr>
          <w:rStyle w:val="FootnoteReference"/>
          <w:sz w:val="22"/>
          <w:szCs w:val="22"/>
        </w:rPr>
        <w:footnoteReference w:id="6"/>
      </w:r>
      <w:r w:rsidR="003B5BA6">
        <w:rPr>
          <w:sz w:val="22"/>
          <w:szCs w:val="22"/>
        </w:rPr>
        <w:t xml:space="preserve"> </w:t>
      </w:r>
      <w:r w:rsidR="003F2BC8">
        <w:rPr>
          <w:sz w:val="22"/>
          <w:szCs w:val="22"/>
        </w:rPr>
        <w:t xml:space="preserve"> </w:t>
      </w:r>
      <w:r w:rsidR="005B4A5C">
        <w:rPr>
          <w:sz w:val="22"/>
          <w:szCs w:val="22"/>
        </w:rPr>
        <w:t>T</w:t>
      </w:r>
      <w:r w:rsidR="00740035">
        <w:rPr>
          <w:sz w:val="22"/>
          <w:szCs w:val="22"/>
        </w:rPr>
        <w:t>he</w:t>
      </w:r>
      <w:r w:rsidR="00BB066F">
        <w:rPr>
          <w:sz w:val="22"/>
          <w:szCs w:val="22"/>
        </w:rPr>
        <w:t xml:space="preserve"> </w:t>
      </w:r>
      <w:r w:rsidR="006B21BD" w:rsidRPr="00F27ACF">
        <w:rPr>
          <w:i/>
          <w:sz w:val="22"/>
          <w:szCs w:val="22"/>
        </w:rPr>
        <w:t>Public Notice</w:t>
      </w:r>
      <w:r w:rsidR="006B21BD">
        <w:rPr>
          <w:sz w:val="22"/>
          <w:szCs w:val="22"/>
        </w:rPr>
        <w:t xml:space="preserve"> </w:t>
      </w:r>
      <w:r w:rsidR="00740035">
        <w:rPr>
          <w:sz w:val="22"/>
          <w:szCs w:val="22"/>
        </w:rPr>
        <w:t>announcing the filing window and filing procedures for Auction 83 applicants</w:t>
      </w:r>
      <w:r w:rsidR="005B4A5C">
        <w:rPr>
          <w:sz w:val="22"/>
          <w:szCs w:val="22"/>
        </w:rPr>
        <w:t xml:space="preserve"> detailed the</w:t>
      </w:r>
      <w:r w:rsidR="005B4A5C" w:rsidRPr="005B4A5C">
        <w:rPr>
          <w:sz w:val="22"/>
          <w:szCs w:val="22"/>
        </w:rPr>
        <w:t xml:space="preserve"> </w:t>
      </w:r>
      <w:r w:rsidR="005B4A5C">
        <w:rPr>
          <w:sz w:val="22"/>
          <w:szCs w:val="22"/>
        </w:rPr>
        <w:t>market-specific FM translator application processing policies designed to effectuate the Local Community Radio Act.</w:t>
      </w:r>
      <w:r w:rsidR="005B4A5C">
        <w:rPr>
          <w:rStyle w:val="FootnoteReference"/>
          <w:sz w:val="22"/>
          <w:szCs w:val="22"/>
        </w:rPr>
        <w:footnoteReference w:id="7"/>
      </w:r>
      <w:r w:rsidR="005B4A5C">
        <w:rPr>
          <w:sz w:val="22"/>
          <w:szCs w:val="22"/>
        </w:rPr>
        <w:t xml:space="preserve">  It specifically</w:t>
      </w:r>
      <w:r w:rsidR="005C0B31">
        <w:rPr>
          <w:sz w:val="22"/>
          <w:szCs w:val="22"/>
        </w:rPr>
        <w:t xml:space="preserve"> stated</w:t>
      </w:r>
      <w:r w:rsidR="00740035">
        <w:rPr>
          <w:sz w:val="22"/>
          <w:szCs w:val="22"/>
        </w:rPr>
        <w:t xml:space="preserve"> that</w:t>
      </w:r>
      <w:r w:rsidR="00F55422">
        <w:rPr>
          <w:sz w:val="22"/>
          <w:szCs w:val="22"/>
        </w:rPr>
        <w:t xml:space="preserve"> </w:t>
      </w:r>
      <w:r w:rsidR="00F55422" w:rsidRPr="00F55422">
        <w:rPr>
          <w:sz w:val="22"/>
          <w:szCs w:val="22"/>
        </w:rPr>
        <w:t>any Form 349 proposal which differs from the original tech box proposal</w:t>
      </w:r>
      <w:r w:rsidR="00F55422">
        <w:rPr>
          <w:sz w:val="22"/>
          <w:szCs w:val="22"/>
        </w:rPr>
        <w:t>, as</w:t>
      </w:r>
      <w:r w:rsidR="005C0B31">
        <w:rPr>
          <w:sz w:val="22"/>
          <w:szCs w:val="22"/>
        </w:rPr>
        <w:t xml:space="preserve"> </w:t>
      </w:r>
      <w:r w:rsidR="005B4A5C">
        <w:rPr>
          <w:sz w:val="22"/>
          <w:szCs w:val="22"/>
        </w:rPr>
        <w:t>is the case</w:t>
      </w:r>
      <w:r w:rsidR="00F55422">
        <w:rPr>
          <w:sz w:val="22"/>
          <w:szCs w:val="22"/>
        </w:rPr>
        <w:t xml:space="preserve"> here,</w:t>
      </w:r>
      <w:r w:rsidR="00F55422" w:rsidRPr="00F55422">
        <w:rPr>
          <w:sz w:val="22"/>
          <w:szCs w:val="22"/>
        </w:rPr>
        <w:t xml:space="preserve"> and propos</w:t>
      </w:r>
      <w:r w:rsidR="00D86431">
        <w:rPr>
          <w:sz w:val="22"/>
          <w:szCs w:val="22"/>
        </w:rPr>
        <w:t>es</w:t>
      </w:r>
      <w:r w:rsidR="00F55422" w:rsidRPr="00F55422">
        <w:rPr>
          <w:sz w:val="22"/>
          <w:szCs w:val="22"/>
        </w:rPr>
        <w:t xml:space="preserve"> a transmitter site at a location within the 39</w:t>
      </w:r>
      <w:r w:rsidR="0067254C">
        <w:rPr>
          <w:sz w:val="22"/>
          <w:szCs w:val="22"/>
        </w:rPr>
        <w:t>-</w:t>
      </w:r>
      <w:r w:rsidR="00F55422" w:rsidRPr="00F55422">
        <w:rPr>
          <w:sz w:val="22"/>
          <w:szCs w:val="22"/>
        </w:rPr>
        <w:t>k</w:t>
      </w:r>
      <w:r w:rsidR="00B3189E">
        <w:rPr>
          <w:sz w:val="22"/>
          <w:szCs w:val="22"/>
        </w:rPr>
        <w:t xml:space="preserve">ilometer </w:t>
      </w:r>
      <w:r w:rsidR="00F268AA">
        <w:rPr>
          <w:sz w:val="22"/>
          <w:szCs w:val="22"/>
        </w:rPr>
        <w:t>“</w:t>
      </w:r>
      <w:r w:rsidR="00F55422" w:rsidRPr="00F55422">
        <w:rPr>
          <w:sz w:val="22"/>
          <w:szCs w:val="22"/>
        </w:rPr>
        <w:t>buffer</w:t>
      </w:r>
      <w:r w:rsidR="00F268AA">
        <w:rPr>
          <w:sz w:val="22"/>
          <w:szCs w:val="22"/>
        </w:rPr>
        <w:t>”</w:t>
      </w:r>
      <w:r w:rsidR="00F55422" w:rsidRPr="00F55422">
        <w:rPr>
          <w:sz w:val="22"/>
          <w:szCs w:val="22"/>
        </w:rPr>
        <w:t xml:space="preserve"> of </w:t>
      </w:r>
      <w:r w:rsidR="00F55422">
        <w:rPr>
          <w:sz w:val="22"/>
          <w:szCs w:val="22"/>
        </w:rPr>
        <w:t>any</w:t>
      </w:r>
      <w:r w:rsidR="00F55422" w:rsidRPr="00F55422">
        <w:rPr>
          <w:sz w:val="22"/>
          <w:szCs w:val="22"/>
        </w:rPr>
        <w:t xml:space="preserve"> defined</w:t>
      </w:r>
      <w:r w:rsidR="00F55422">
        <w:rPr>
          <w:sz w:val="22"/>
          <w:szCs w:val="22"/>
        </w:rPr>
        <w:t xml:space="preserve"> </w:t>
      </w:r>
      <w:r w:rsidR="00DA19D4">
        <w:rPr>
          <w:sz w:val="22"/>
          <w:szCs w:val="22"/>
        </w:rPr>
        <w:t>“</w:t>
      </w:r>
      <w:r w:rsidR="00F55422" w:rsidRPr="00F55422">
        <w:rPr>
          <w:sz w:val="22"/>
          <w:szCs w:val="22"/>
        </w:rPr>
        <w:t>Market Grid</w:t>
      </w:r>
      <w:r w:rsidR="00073A4A">
        <w:rPr>
          <w:sz w:val="22"/>
          <w:szCs w:val="22"/>
        </w:rPr>
        <w:t>,</w:t>
      </w:r>
      <w:r w:rsidR="00DA19D4">
        <w:rPr>
          <w:sz w:val="22"/>
          <w:szCs w:val="22"/>
        </w:rPr>
        <w:t>”</w:t>
      </w:r>
      <w:r w:rsidR="00073A4A">
        <w:rPr>
          <w:sz w:val="22"/>
          <w:szCs w:val="22"/>
        </w:rPr>
        <w:t xml:space="preserve"> as </w:t>
      </w:r>
      <w:r w:rsidR="005B4A5C">
        <w:rPr>
          <w:sz w:val="22"/>
          <w:szCs w:val="22"/>
        </w:rPr>
        <w:t xml:space="preserve">is the case </w:t>
      </w:r>
      <w:r w:rsidR="00073A4A">
        <w:rPr>
          <w:sz w:val="22"/>
          <w:szCs w:val="22"/>
        </w:rPr>
        <w:t xml:space="preserve">here, </w:t>
      </w:r>
      <w:r w:rsidR="005B4A5C">
        <w:rPr>
          <w:sz w:val="22"/>
          <w:szCs w:val="22"/>
        </w:rPr>
        <w:t>would be required</w:t>
      </w:r>
      <w:r w:rsidR="006B62ED">
        <w:rPr>
          <w:sz w:val="22"/>
          <w:szCs w:val="22"/>
        </w:rPr>
        <w:t xml:space="preserve"> to </w:t>
      </w:r>
      <w:r w:rsidR="00F55422" w:rsidRPr="00F55422">
        <w:rPr>
          <w:sz w:val="22"/>
          <w:szCs w:val="22"/>
        </w:rPr>
        <w:t xml:space="preserve">file a </w:t>
      </w:r>
      <w:r w:rsidR="00F268AA">
        <w:rPr>
          <w:sz w:val="22"/>
          <w:szCs w:val="22"/>
        </w:rPr>
        <w:t>P</w:t>
      </w:r>
      <w:r w:rsidR="00F55422" w:rsidRPr="00F55422">
        <w:rPr>
          <w:sz w:val="22"/>
          <w:szCs w:val="22"/>
        </w:rPr>
        <w:t xml:space="preserve">reclusion </w:t>
      </w:r>
      <w:r w:rsidR="00F268AA">
        <w:rPr>
          <w:sz w:val="22"/>
          <w:szCs w:val="22"/>
        </w:rPr>
        <w:t>S</w:t>
      </w:r>
      <w:r w:rsidR="00F55422" w:rsidRPr="00F55422">
        <w:rPr>
          <w:sz w:val="22"/>
          <w:szCs w:val="22"/>
        </w:rPr>
        <w:t>howing</w:t>
      </w:r>
      <w:r w:rsidR="000B3F09">
        <w:rPr>
          <w:sz w:val="22"/>
          <w:szCs w:val="22"/>
        </w:rPr>
        <w:t xml:space="preserve">.  The deadline for these showings, </w:t>
      </w:r>
      <w:bookmarkStart w:id="5" w:name="SR;1306"/>
      <w:bookmarkEnd w:id="5"/>
      <w:r w:rsidR="007367E5">
        <w:rPr>
          <w:sz w:val="22"/>
          <w:szCs w:val="22"/>
        </w:rPr>
        <w:t>demonstrating</w:t>
      </w:r>
      <w:bookmarkStart w:id="6" w:name="SR;1307"/>
      <w:bookmarkEnd w:id="6"/>
      <w:r w:rsidR="008C37D9" w:rsidRPr="008C37D9">
        <w:rPr>
          <w:sz w:val="22"/>
          <w:szCs w:val="22"/>
        </w:rPr>
        <w:t xml:space="preserve"> that the FM Translator application, if granted, </w:t>
      </w:r>
      <w:r w:rsidR="000B3F09">
        <w:rPr>
          <w:sz w:val="22"/>
          <w:szCs w:val="22"/>
        </w:rPr>
        <w:t>would</w:t>
      </w:r>
      <w:r w:rsidR="008C37D9" w:rsidRPr="008C37D9">
        <w:rPr>
          <w:sz w:val="22"/>
          <w:szCs w:val="22"/>
        </w:rPr>
        <w:t xml:space="preserve"> not preclude any protected LPFM licensing opportunities</w:t>
      </w:r>
      <w:r w:rsidR="008C37D9">
        <w:rPr>
          <w:rStyle w:val="FootnoteReference"/>
          <w:sz w:val="22"/>
          <w:szCs w:val="22"/>
        </w:rPr>
        <w:footnoteReference w:id="8"/>
      </w:r>
      <w:r w:rsidR="008C37D9">
        <w:rPr>
          <w:sz w:val="22"/>
          <w:szCs w:val="22"/>
        </w:rPr>
        <w:t xml:space="preserve"> </w:t>
      </w:r>
      <w:r w:rsidR="000B3F09">
        <w:rPr>
          <w:sz w:val="22"/>
          <w:szCs w:val="22"/>
        </w:rPr>
        <w:t>was</w:t>
      </w:r>
      <w:r w:rsidR="00F55422">
        <w:rPr>
          <w:sz w:val="22"/>
          <w:szCs w:val="22"/>
        </w:rPr>
        <w:t xml:space="preserve"> March 28, 2013.</w:t>
      </w:r>
      <w:r w:rsidR="00F55422">
        <w:rPr>
          <w:rStyle w:val="FootnoteReference"/>
          <w:sz w:val="22"/>
          <w:szCs w:val="22"/>
        </w:rPr>
        <w:footnoteReference w:id="9"/>
      </w:r>
      <w:r w:rsidR="002F7753">
        <w:rPr>
          <w:sz w:val="22"/>
          <w:szCs w:val="22"/>
        </w:rPr>
        <w:t xml:space="preserve">  The </w:t>
      </w:r>
      <w:r w:rsidR="00DB66C3">
        <w:rPr>
          <w:sz w:val="22"/>
          <w:szCs w:val="22"/>
        </w:rPr>
        <w:t xml:space="preserve">Media </w:t>
      </w:r>
      <w:r w:rsidR="002F7753">
        <w:rPr>
          <w:sz w:val="22"/>
          <w:szCs w:val="22"/>
        </w:rPr>
        <w:t xml:space="preserve">Bureau </w:t>
      </w:r>
      <w:r w:rsidR="00DB66C3">
        <w:rPr>
          <w:sz w:val="22"/>
          <w:szCs w:val="22"/>
        </w:rPr>
        <w:t xml:space="preserve">(“Bureau”) </w:t>
      </w:r>
      <w:r w:rsidR="002F7753">
        <w:rPr>
          <w:sz w:val="22"/>
          <w:szCs w:val="22"/>
        </w:rPr>
        <w:t xml:space="preserve">issued a follow-up </w:t>
      </w:r>
      <w:r w:rsidR="002F7753" w:rsidRPr="00070C84">
        <w:rPr>
          <w:i/>
          <w:sz w:val="22"/>
          <w:szCs w:val="22"/>
        </w:rPr>
        <w:t>Public Notice</w:t>
      </w:r>
      <w:r w:rsidR="002F7753">
        <w:rPr>
          <w:sz w:val="22"/>
          <w:szCs w:val="22"/>
        </w:rPr>
        <w:t xml:space="preserve"> </w:t>
      </w:r>
      <w:r w:rsidR="00381B69">
        <w:rPr>
          <w:sz w:val="22"/>
          <w:szCs w:val="22"/>
        </w:rPr>
        <w:t xml:space="preserve">on March 18, 2013, </w:t>
      </w:r>
      <w:r w:rsidR="002F7753">
        <w:rPr>
          <w:sz w:val="22"/>
          <w:szCs w:val="22"/>
        </w:rPr>
        <w:t xml:space="preserve">reiterating this </w:t>
      </w:r>
      <w:r w:rsidR="00A430FC">
        <w:rPr>
          <w:sz w:val="22"/>
          <w:szCs w:val="22"/>
        </w:rPr>
        <w:t xml:space="preserve">filing </w:t>
      </w:r>
      <w:r w:rsidR="002F7753">
        <w:rPr>
          <w:sz w:val="22"/>
          <w:szCs w:val="22"/>
        </w:rPr>
        <w:t>requirement.</w:t>
      </w:r>
      <w:r w:rsidR="002F7753" w:rsidRPr="002F7753">
        <w:rPr>
          <w:sz w:val="22"/>
          <w:szCs w:val="22"/>
          <w:vertAlign w:val="superscript"/>
        </w:rPr>
        <w:footnoteReference w:id="10"/>
      </w:r>
      <w:r w:rsidR="00A430FC">
        <w:rPr>
          <w:sz w:val="22"/>
          <w:szCs w:val="22"/>
        </w:rPr>
        <w:t xml:space="preserve">  Schober failed to </w:t>
      </w:r>
      <w:r w:rsidR="006B62ED">
        <w:rPr>
          <w:sz w:val="22"/>
          <w:szCs w:val="22"/>
        </w:rPr>
        <w:t xml:space="preserve">submit a </w:t>
      </w:r>
      <w:r w:rsidR="00070C84">
        <w:rPr>
          <w:sz w:val="22"/>
          <w:szCs w:val="22"/>
        </w:rPr>
        <w:t>P</w:t>
      </w:r>
      <w:r w:rsidR="006B62ED">
        <w:rPr>
          <w:sz w:val="22"/>
          <w:szCs w:val="22"/>
        </w:rPr>
        <w:t xml:space="preserve">reclusion </w:t>
      </w:r>
      <w:r w:rsidR="00070C84">
        <w:rPr>
          <w:sz w:val="22"/>
          <w:szCs w:val="22"/>
        </w:rPr>
        <w:t>S</w:t>
      </w:r>
      <w:r w:rsidR="006B62ED">
        <w:rPr>
          <w:sz w:val="22"/>
          <w:szCs w:val="22"/>
        </w:rPr>
        <w:t xml:space="preserve">howing </w:t>
      </w:r>
      <w:r w:rsidR="005B4A5C">
        <w:rPr>
          <w:sz w:val="22"/>
          <w:szCs w:val="22"/>
        </w:rPr>
        <w:t xml:space="preserve">for either Denton Application </w:t>
      </w:r>
      <w:r w:rsidR="006B62ED">
        <w:rPr>
          <w:sz w:val="22"/>
          <w:szCs w:val="22"/>
        </w:rPr>
        <w:t>by the</w:t>
      </w:r>
      <w:r w:rsidR="00A430FC">
        <w:rPr>
          <w:sz w:val="22"/>
          <w:szCs w:val="22"/>
        </w:rPr>
        <w:t xml:space="preserve"> filing deadline</w:t>
      </w:r>
      <w:r w:rsidR="006B62ED">
        <w:rPr>
          <w:sz w:val="22"/>
          <w:szCs w:val="22"/>
        </w:rPr>
        <w:t xml:space="preserve">, and the staff dismissed </w:t>
      </w:r>
      <w:r w:rsidR="00DB66C3">
        <w:rPr>
          <w:sz w:val="22"/>
          <w:szCs w:val="22"/>
        </w:rPr>
        <w:t>the referenced</w:t>
      </w:r>
      <w:r w:rsidR="006B62ED">
        <w:rPr>
          <w:sz w:val="22"/>
          <w:szCs w:val="22"/>
        </w:rPr>
        <w:t xml:space="preserve"> applications on April 9, 2013</w:t>
      </w:r>
      <w:r w:rsidR="00A430FC">
        <w:rPr>
          <w:sz w:val="22"/>
          <w:szCs w:val="22"/>
        </w:rPr>
        <w:t xml:space="preserve">.  On </w:t>
      </w:r>
      <w:r w:rsidR="005376BD">
        <w:rPr>
          <w:sz w:val="22"/>
          <w:szCs w:val="22"/>
        </w:rPr>
        <w:t>May 1</w:t>
      </w:r>
      <w:r w:rsidR="00A430FC">
        <w:rPr>
          <w:sz w:val="22"/>
          <w:szCs w:val="22"/>
        </w:rPr>
        <w:t>, 2013, he filed the Petition</w:t>
      </w:r>
      <w:r w:rsidR="00A3377C">
        <w:rPr>
          <w:sz w:val="22"/>
          <w:szCs w:val="22"/>
        </w:rPr>
        <w:t>s</w:t>
      </w:r>
      <w:r w:rsidR="00A430FC">
        <w:rPr>
          <w:sz w:val="22"/>
          <w:szCs w:val="22"/>
        </w:rPr>
        <w:t xml:space="preserve">.  </w:t>
      </w:r>
    </w:p>
    <w:p w:rsidR="00211D83" w:rsidRPr="00310649" w:rsidRDefault="00211D83" w:rsidP="00310649">
      <w:pPr>
        <w:rPr>
          <w:sz w:val="22"/>
          <w:szCs w:val="22"/>
        </w:rPr>
      </w:pPr>
    </w:p>
    <w:p w:rsidR="000A2601" w:rsidRDefault="00DE515B" w:rsidP="000A2601">
      <w:pPr>
        <w:rPr>
          <w:sz w:val="22"/>
          <w:szCs w:val="22"/>
        </w:rPr>
      </w:pPr>
      <w:r>
        <w:rPr>
          <w:sz w:val="22"/>
          <w:szCs w:val="22"/>
        </w:rPr>
        <w:tab/>
      </w:r>
      <w:r w:rsidR="003F3D53">
        <w:rPr>
          <w:sz w:val="22"/>
          <w:szCs w:val="22"/>
        </w:rPr>
        <w:t>On reconsideration,</w:t>
      </w:r>
      <w:r w:rsidR="004F0B7C">
        <w:rPr>
          <w:sz w:val="22"/>
          <w:szCs w:val="22"/>
        </w:rPr>
        <w:t xml:space="preserve"> </w:t>
      </w:r>
      <w:r w:rsidR="009E0FA7">
        <w:rPr>
          <w:sz w:val="22"/>
          <w:szCs w:val="22"/>
        </w:rPr>
        <w:t>Schober</w:t>
      </w:r>
      <w:r w:rsidR="00BB204B" w:rsidRPr="00BB204B">
        <w:rPr>
          <w:sz w:val="22"/>
          <w:szCs w:val="22"/>
        </w:rPr>
        <w:t xml:space="preserve"> </w:t>
      </w:r>
      <w:r w:rsidR="00EF68A0">
        <w:rPr>
          <w:sz w:val="22"/>
          <w:szCs w:val="22"/>
        </w:rPr>
        <w:t xml:space="preserve">contends that </w:t>
      </w:r>
      <w:r w:rsidR="00EB73B9">
        <w:rPr>
          <w:sz w:val="22"/>
          <w:szCs w:val="22"/>
        </w:rPr>
        <w:t xml:space="preserve">the reason </w:t>
      </w:r>
      <w:r w:rsidR="00F14855">
        <w:rPr>
          <w:sz w:val="22"/>
          <w:szCs w:val="22"/>
        </w:rPr>
        <w:t xml:space="preserve">he failed to </w:t>
      </w:r>
      <w:r w:rsidR="00F1095B">
        <w:rPr>
          <w:sz w:val="22"/>
          <w:szCs w:val="22"/>
        </w:rPr>
        <w:t xml:space="preserve">timely </w:t>
      </w:r>
      <w:r w:rsidR="00F14855">
        <w:rPr>
          <w:sz w:val="22"/>
          <w:szCs w:val="22"/>
        </w:rPr>
        <w:t xml:space="preserve">file </w:t>
      </w:r>
      <w:r w:rsidR="00BB41C0">
        <w:rPr>
          <w:sz w:val="22"/>
          <w:szCs w:val="22"/>
        </w:rPr>
        <w:t xml:space="preserve">Preclusion Showings </w:t>
      </w:r>
      <w:r w:rsidR="00B111D5">
        <w:rPr>
          <w:sz w:val="22"/>
          <w:szCs w:val="22"/>
        </w:rPr>
        <w:t xml:space="preserve">is </w:t>
      </w:r>
      <w:r w:rsidR="00EB73B9">
        <w:rPr>
          <w:sz w:val="22"/>
          <w:szCs w:val="22"/>
        </w:rPr>
        <w:t>because</w:t>
      </w:r>
      <w:r w:rsidR="00F14855">
        <w:rPr>
          <w:sz w:val="22"/>
          <w:szCs w:val="22"/>
        </w:rPr>
        <w:t xml:space="preserve"> </w:t>
      </w:r>
      <w:r w:rsidR="009E0FA7">
        <w:rPr>
          <w:sz w:val="22"/>
          <w:szCs w:val="22"/>
        </w:rPr>
        <w:t xml:space="preserve">the Commission’s procedures for processing Auction 83 FM translator applications “are spread out over thousands of pages” </w:t>
      </w:r>
      <w:r w:rsidR="00A124EF">
        <w:rPr>
          <w:sz w:val="22"/>
          <w:szCs w:val="22"/>
        </w:rPr>
        <w:t>and are</w:t>
      </w:r>
      <w:r w:rsidR="009E0FA7">
        <w:rPr>
          <w:sz w:val="22"/>
          <w:szCs w:val="22"/>
        </w:rPr>
        <w:t xml:space="preserve"> “confusing</w:t>
      </w:r>
      <w:r w:rsidR="00F14855">
        <w:rPr>
          <w:sz w:val="22"/>
          <w:szCs w:val="22"/>
        </w:rPr>
        <w:t>.”</w:t>
      </w:r>
      <w:r w:rsidR="00892100">
        <w:rPr>
          <w:rStyle w:val="FootnoteReference"/>
          <w:sz w:val="22"/>
          <w:szCs w:val="22"/>
        </w:rPr>
        <w:footnoteReference w:id="11"/>
      </w:r>
      <w:r w:rsidR="00F14855">
        <w:rPr>
          <w:sz w:val="22"/>
          <w:szCs w:val="22"/>
        </w:rPr>
        <w:t xml:space="preserve">  </w:t>
      </w:r>
      <w:r w:rsidR="000B3F09">
        <w:rPr>
          <w:sz w:val="22"/>
          <w:szCs w:val="22"/>
        </w:rPr>
        <w:t xml:space="preserve">He also argues that the deadline should be waived because he did not receive the </w:t>
      </w:r>
      <w:r w:rsidR="000B3F09">
        <w:rPr>
          <w:i/>
          <w:sz w:val="22"/>
          <w:szCs w:val="22"/>
        </w:rPr>
        <w:t xml:space="preserve">Guidance PN </w:t>
      </w:r>
      <w:r w:rsidR="000B3F09">
        <w:rPr>
          <w:sz w:val="22"/>
          <w:szCs w:val="22"/>
        </w:rPr>
        <w:t>“due to travel” and because it was released “long after [he] had prepared the long form application[s].”</w:t>
      </w:r>
      <w:r w:rsidR="000B3F09">
        <w:rPr>
          <w:rStyle w:val="FootnoteReference"/>
          <w:sz w:val="22"/>
          <w:szCs w:val="22"/>
        </w:rPr>
        <w:footnoteReference w:id="12"/>
      </w:r>
      <w:r w:rsidR="000B3F09">
        <w:rPr>
          <w:sz w:val="22"/>
          <w:szCs w:val="22"/>
        </w:rPr>
        <w:t xml:space="preserve">  </w:t>
      </w:r>
      <w:r w:rsidR="003F3C00">
        <w:rPr>
          <w:sz w:val="22"/>
          <w:szCs w:val="22"/>
        </w:rPr>
        <w:t xml:space="preserve">Accordingly, </w:t>
      </w:r>
      <w:r w:rsidR="009E0FA7">
        <w:rPr>
          <w:sz w:val="22"/>
          <w:szCs w:val="22"/>
        </w:rPr>
        <w:t xml:space="preserve">Schober argues </w:t>
      </w:r>
      <w:r w:rsidR="00892100">
        <w:rPr>
          <w:sz w:val="22"/>
          <w:szCs w:val="22"/>
        </w:rPr>
        <w:t xml:space="preserve">that </w:t>
      </w:r>
      <w:r w:rsidR="003F3C00">
        <w:rPr>
          <w:sz w:val="22"/>
          <w:szCs w:val="22"/>
        </w:rPr>
        <w:t xml:space="preserve">the Bureau should accept his </w:t>
      </w:r>
      <w:r w:rsidR="00A124EF">
        <w:rPr>
          <w:sz w:val="22"/>
          <w:szCs w:val="22"/>
        </w:rPr>
        <w:t>untimely</w:t>
      </w:r>
      <w:r w:rsidR="003F3C00">
        <w:rPr>
          <w:sz w:val="22"/>
          <w:szCs w:val="22"/>
        </w:rPr>
        <w:t xml:space="preserve"> </w:t>
      </w:r>
      <w:r w:rsidR="00AE1A50">
        <w:rPr>
          <w:sz w:val="22"/>
          <w:szCs w:val="22"/>
        </w:rPr>
        <w:t>Preclusion S</w:t>
      </w:r>
      <w:r w:rsidR="0067254C">
        <w:rPr>
          <w:sz w:val="22"/>
          <w:szCs w:val="22"/>
        </w:rPr>
        <w:t>howing</w:t>
      </w:r>
      <w:r w:rsidR="000D17BF">
        <w:rPr>
          <w:sz w:val="22"/>
          <w:szCs w:val="22"/>
        </w:rPr>
        <w:t>s</w:t>
      </w:r>
      <w:r w:rsidR="003F3C00">
        <w:rPr>
          <w:sz w:val="22"/>
          <w:szCs w:val="22"/>
        </w:rPr>
        <w:t xml:space="preserve">.  </w:t>
      </w:r>
      <w:r w:rsidR="00A31874">
        <w:rPr>
          <w:sz w:val="22"/>
          <w:szCs w:val="22"/>
        </w:rPr>
        <w:t>Schober</w:t>
      </w:r>
      <w:r w:rsidR="00EC6668">
        <w:rPr>
          <w:sz w:val="22"/>
          <w:szCs w:val="22"/>
        </w:rPr>
        <w:t xml:space="preserve"> </w:t>
      </w:r>
      <w:r w:rsidR="00F57012">
        <w:rPr>
          <w:sz w:val="22"/>
          <w:szCs w:val="22"/>
        </w:rPr>
        <w:t>c</w:t>
      </w:r>
      <w:r w:rsidR="00EF68A0">
        <w:rPr>
          <w:sz w:val="22"/>
          <w:szCs w:val="22"/>
        </w:rPr>
        <w:t>laims</w:t>
      </w:r>
      <w:r w:rsidR="00F57012">
        <w:rPr>
          <w:sz w:val="22"/>
          <w:szCs w:val="22"/>
        </w:rPr>
        <w:t xml:space="preserve"> that</w:t>
      </w:r>
      <w:r w:rsidR="00EC6668">
        <w:rPr>
          <w:sz w:val="22"/>
          <w:szCs w:val="22"/>
        </w:rPr>
        <w:t xml:space="preserve"> </w:t>
      </w:r>
      <w:r w:rsidR="00A31874">
        <w:rPr>
          <w:sz w:val="22"/>
          <w:szCs w:val="22"/>
        </w:rPr>
        <w:t>it would be “unfair” to preclude an applicant from perfecting an application when the deficiency is due to a “misinterpretation of complex standards which are not codified into the rules.”</w:t>
      </w:r>
      <w:r w:rsidR="00472E0E">
        <w:rPr>
          <w:rStyle w:val="FootnoteReference"/>
          <w:sz w:val="22"/>
          <w:szCs w:val="22"/>
        </w:rPr>
        <w:footnoteReference w:id="13"/>
      </w:r>
      <w:r w:rsidR="00472E0E">
        <w:rPr>
          <w:sz w:val="22"/>
          <w:szCs w:val="22"/>
        </w:rPr>
        <w:t xml:space="preserve">  </w:t>
      </w:r>
      <w:r w:rsidR="00D16B9C">
        <w:rPr>
          <w:sz w:val="22"/>
          <w:szCs w:val="22"/>
        </w:rPr>
        <w:t>Finally, Schober</w:t>
      </w:r>
      <w:r w:rsidR="00D16B9C" w:rsidRPr="00D16B9C">
        <w:rPr>
          <w:sz w:val="22"/>
          <w:szCs w:val="22"/>
        </w:rPr>
        <w:t xml:space="preserve"> claims that reinstatement </w:t>
      </w:r>
      <w:r w:rsidR="003F3C00">
        <w:rPr>
          <w:sz w:val="22"/>
          <w:szCs w:val="22"/>
        </w:rPr>
        <w:t xml:space="preserve">and amendment </w:t>
      </w:r>
      <w:r w:rsidR="00D16B9C" w:rsidRPr="00D16B9C">
        <w:rPr>
          <w:sz w:val="22"/>
          <w:szCs w:val="22"/>
        </w:rPr>
        <w:t xml:space="preserve">of the </w:t>
      </w:r>
      <w:r w:rsidR="00D16B9C">
        <w:rPr>
          <w:sz w:val="22"/>
          <w:szCs w:val="22"/>
        </w:rPr>
        <w:t xml:space="preserve">Denton Applications </w:t>
      </w:r>
      <w:r w:rsidR="003F3C00">
        <w:rPr>
          <w:sz w:val="22"/>
          <w:szCs w:val="22"/>
        </w:rPr>
        <w:t xml:space="preserve">would </w:t>
      </w:r>
      <w:r w:rsidR="00D16B9C" w:rsidRPr="00D16B9C">
        <w:rPr>
          <w:sz w:val="22"/>
          <w:szCs w:val="22"/>
        </w:rPr>
        <w:t xml:space="preserve">serve the public interest </w:t>
      </w:r>
      <w:r w:rsidR="00D16B9C">
        <w:rPr>
          <w:sz w:val="22"/>
          <w:szCs w:val="22"/>
        </w:rPr>
        <w:t xml:space="preserve">by improving local radio service </w:t>
      </w:r>
      <w:r w:rsidR="006431B6">
        <w:rPr>
          <w:sz w:val="22"/>
          <w:szCs w:val="22"/>
        </w:rPr>
        <w:t xml:space="preserve">in </w:t>
      </w:r>
      <w:r w:rsidR="00D16B9C">
        <w:rPr>
          <w:sz w:val="22"/>
          <w:szCs w:val="22"/>
        </w:rPr>
        <w:t>this rural area</w:t>
      </w:r>
      <w:r w:rsidR="00D16B9C" w:rsidRPr="00D16B9C">
        <w:rPr>
          <w:sz w:val="22"/>
          <w:szCs w:val="22"/>
        </w:rPr>
        <w:t>.</w:t>
      </w:r>
      <w:r w:rsidR="00D16B9C" w:rsidRPr="00D16B9C">
        <w:rPr>
          <w:sz w:val="22"/>
          <w:szCs w:val="22"/>
          <w:vertAlign w:val="superscript"/>
        </w:rPr>
        <w:footnoteReference w:id="14"/>
      </w:r>
      <w:r w:rsidR="00D16B9C" w:rsidRPr="00D16B9C">
        <w:rPr>
          <w:sz w:val="22"/>
          <w:szCs w:val="22"/>
        </w:rPr>
        <w:t xml:space="preserve">  </w:t>
      </w:r>
    </w:p>
    <w:p w:rsidR="00277720" w:rsidRDefault="00277720" w:rsidP="000A2601">
      <w:pPr>
        <w:rPr>
          <w:sz w:val="22"/>
          <w:szCs w:val="22"/>
        </w:rPr>
      </w:pPr>
    </w:p>
    <w:p w:rsidR="00476C46" w:rsidRDefault="00BB204B" w:rsidP="00476C46">
      <w:pPr>
        <w:rPr>
          <w:sz w:val="22"/>
          <w:szCs w:val="22"/>
        </w:rPr>
      </w:pPr>
      <w:r w:rsidRPr="00BB204B">
        <w:rPr>
          <w:sz w:val="22"/>
          <w:szCs w:val="22"/>
        </w:rPr>
        <w:t xml:space="preserve">        </w:t>
      </w:r>
      <w:r w:rsidRPr="00BB204B">
        <w:rPr>
          <w:sz w:val="22"/>
          <w:szCs w:val="22"/>
        </w:rPr>
        <w:tab/>
      </w:r>
      <w:r w:rsidRPr="00BB204B">
        <w:rPr>
          <w:b/>
          <w:sz w:val="22"/>
          <w:szCs w:val="22"/>
        </w:rPr>
        <w:t>Discussion</w:t>
      </w:r>
      <w:r w:rsidRPr="00BB204B">
        <w:rPr>
          <w:sz w:val="22"/>
          <w:szCs w:val="22"/>
        </w:rPr>
        <w:t xml:space="preserve">.  </w:t>
      </w:r>
      <w:r w:rsidR="00E67619" w:rsidRPr="00E67619">
        <w:rPr>
          <w:sz w:val="22"/>
          <w:szCs w:val="22"/>
        </w:rPr>
        <w:t xml:space="preserve">The Commission will consider a </w:t>
      </w:r>
      <w:bookmarkStart w:id="7" w:name="SR;929"/>
      <w:bookmarkEnd w:id="7"/>
      <w:r w:rsidR="00E67619">
        <w:rPr>
          <w:sz w:val="22"/>
          <w:szCs w:val="22"/>
        </w:rPr>
        <w:t>petition for reconsideration</w:t>
      </w:r>
      <w:bookmarkStart w:id="8" w:name="SR;931"/>
      <w:bookmarkEnd w:id="8"/>
      <w:r w:rsidR="00E67619" w:rsidRPr="00E67619">
        <w:rPr>
          <w:sz w:val="22"/>
          <w:szCs w:val="22"/>
        </w:rPr>
        <w:t xml:space="preserve"> only when the petitioner shows either a material error in the Commission's original order, or raises additional facts, not </w:t>
      </w:r>
    </w:p>
    <w:p w:rsidR="004229E6" w:rsidRDefault="00E67619" w:rsidP="006A1BC8">
      <w:pPr>
        <w:autoSpaceDE w:val="0"/>
        <w:autoSpaceDN w:val="0"/>
        <w:adjustRightInd w:val="0"/>
        <w:rPr>
          <w:sz w:val="22"/>
          <w:szCs w:val="22"/>
        </w:rPr>
      </w:pPr>
      <w:r w:rsidRPr="00E67619">
        <w:rPr>
          <w:sz w:val="22"/>
          <w:szCs w:val="22"/>
        </w:rPr>
        <w:lastRenderedPageBreak/>
        <w:t>known or existing at the time of the petitioner's last opportunity to present such matters.</w:t>
      </w:r>
      <w:bookmarkStart w:id="9" w:name="FN[FN13]"/>
      <w:bookmarkEnd w:id="9"/>
      <w:r>
        <w:rPr>
          <w:rStyle w:val="FootnoteReference"/>
          <w:sz w:val="22"/>
          <w:szCs w:val="22"/>
        </w:rPr>
        <w:footnoteReference w:id="15"/>
      </w:r>
      <w:r>
        <w:rPr>
          <w:sz w:val="22"/>
          <w:szCs w:val="22"/>
        </w:rPr>
        <w:t xml:space="preserve">  </w:t>
      </w:r>
      <w:r w:rsidR="00A31874">
        <w:rPr>
          <w:sz w:val="22"/>
          <w:szCs w:val="22"/>
        </w:rPr>
        <w:t>Schober</w:t>
      </w:r>
      <w:r w:rsidRPr="00E67619">
        <w:rPr>
          <w:sz w:val="22"/>
          <w:szCs w:val="22"/>
        </w:rPr>
        <w:t xml:space="preserve"> has not met this burden.</w:t>
      </w:r>
      <w:r w:rsidR="00E53D86">
        <w:rPr>
          <w:sz w:val="22"/>
          <w:szCs w:val="22"/>
        </w:rPr>
        <w:t xml:space="preserve"> </w:t>
      </w:r>
    </w:p>
    <w:p w:rsidR="00E53D86" w:rsidRDefault="00E53D86" w:rsidP="006A1BC8">
      <w:pPr>
        <w:autoSpaceDE w:val="0"/>
        <w:autoSpaceDN w:val="0"/>
        <w:adjustRightInd w:val="0"/>
        <w:rPr>
          <w:sz w:val="22"/>
          <w:szCs w:val="22"/>
        </w:rPr>
      </w:pPr>
    </w:p>
    <w:p w:rsidR="006059AF" w:rsidRDefault="006059AF" w:rsidP="006A1BC8">
      <w:pPr>
        <w:autoSpaceDE w:val="0"/>
        <w:autoSpaceDN w:val="0"/>
        <w:adjustRightInd w:val="0"/>
        <w:rPr>
          <w:sz w:val="22"/>
          <w:szCs w:val="22"/>
        </w:rPr>
      </w:pPr>
      <w:r>
        <w:rPr>
          <w:sz w:val="22"/>
          <w:szCs w:val="22"/>
        </w:rPr>
        <w:tab/>
      </w:r>
      <w:r w:rsidR="00484608">
        <w:rPr>
          <w:sz w:val="22"/>
          <w:szCs w:val="22"/>
        </w:rPr>
        <w:t>Initially, we note that u</w:t>
      </w:r>
      <w:r w:rsidRPr="006059AF">
        <w:rPr>
          <w:sz w:val="22"/>
          <w:szCs w:val="22"/>
        </w:rPr>
        <w:t>nder the procedures established for the processing of short-form</w:t>
      </w:r>
      <w:r w:rsidR="00205A6D">
        <w:rPr>
          <w:sz w:val="22"/>
          <w:szCs w:val="22"/>
        </w:rPr>
        <w:t xml:space="preserve"> FM translator </w:t>
      </w:r>
      <w:r w:rsidRPr="006059AF">
        <w:rPr>
          <w:sz w:val="22"/>
          <w:szCs w:val="22"/>
        </w:rPr>
        <w:t xml:space="preserve">applications, applicants in certain circumstances </w:t>
      </w:r>
      <w:r w:rsidR="00205A6D">
        <w:rPr>
          <w:sz w:val="22"/>
          <w:szCs w:val="22"/>
        </w:rPr>
        <w:t>were permitted to</w:t>
      </w:r>
      <w:r w:rsidRPr="006059AF">
        <w:rPr>
          <w:sz w:val="22"/>
          <w:szCs w:val="22"/>
        </w:rPr>
        <w:t xml:space="preserve"> </w:t>
      </w:r>
      <w:r w:rsidR="00E53D86">
        <w:rPr>
          <w:sz w:val="22"/>
          <w:szCs w:val="22"/>
        </w:rPr>
        <w:t>file minor amendments to</w:t>
      </w:r>
      <w:r w:rsidRPr="006059AF">
        <w:rPr>
          <w:sz w:val="22"/>
          <w:szCs w:val="22"/>
        </w:rPr>
        <w:t xml:space="preserve"> the</w:t>
      </w:r>
      <w:r w:rsidR="00205A6D">
        <w:rPr>
          <w:sz w:val="22"/>
          <w:szCs w:val="22"/>
        </w:rPr>
        <w:t>ir</w:t>
      </w:r>
      <w:r w:rsidRPr="006059AF">
        <w:rPr>
          <w:sz w:val="22"/>
          <w:szCs w:val="22"/>
        </w:rPr>
        <w:t xml:space="preserve"> tech box proposal</w:t>
      </w:r>
      <w:r w:rsidR="00E53D86">
        <w:rPr>
          <w:sz w:val="22"/>
          <w:szCs w:val="22"/>
        </w:rPr>
        <w:t>s (</w:t>
      </w:r>
      <w:r w:rsidRPr="006059AF">
        <w:rPr>
          <w:sz w:val="22"/>
          <w:szCs w:val="22"/>
        </w:rPr>
        <w:t xml:space="preserve">“Technical Amendments”), </w:t>
      </w:r>
      <w:r w:rsidRPr="006059AF">
        <w:rPr>
          <w:i/>
          <w:sz w:val="22"/>
          <w:szCs w:val="22"/>
        </w:rPr>
        <w:t>e.g</w:t>
      </w:r>
      <w:r w:rsidRPr="006059AF">
        <w:rPr>
          <w:sz w:val="22"/>
          <w:szCs w:val="22"/>
        </w:rPr>
        <w:t xml:space="preserve">., changes in power, height, </w:t>
      </w:r>
      <w:r w:rsidR="00E53D86">
        <w:rPr>
          <w:sz w:val="22"/>
          <w:szCs w:val="22"/>
        </w:rPr>
        <w:t xml:space="preserve">directed pattern </w:t>
      </w:r>
      <w:r w:rsidRPr="006059AF">
        <w:rPr>
          <w:sz w:val="22"/>
          <w:szCs w:val="22"/>
        </w:rPr>
        <w:t>channel,</w:t>
      </w:r>
      <w:r w:rsidR="00E53D86">
        <w:rPr>
          <w:sz w:val="22"/>
          <w:szCs w:val="22"/>
        </w:rPr>
        <w:t xml:space="preserve"> </w:t>
      </w:r>
      <w:r w:rsidRPr="006059AF">
        <w:rPr>
          <w:sz w:val="22"/>
          <w:szCs w:val="22"/>
        </w:rPr>
        <w:t>etc., at designated times.</w:t>
      </w:r>
      <w:r>
        <w:rPr>
          <w:rStyle w:val="FootnoteReference"/>
          <w:sz w:val="22"/>
          <w:szCs w:val="22"/>
        </w:rPr>
        <w:footnoteReference w:id="16"/>
      </w:r>
      <w:r>
        <w:rPr>
          <w:sz w:val="22"/>
          <w:szCs w:val="22"/>
        </w:rPr>
        <w:t xml:space="preserve">  </w:t>
      </w:r>
      <w:r w:rsidRPr="006059AF">
        <w:rPr>
          <w:sz w:val="22"/>
          <w:szCs w:val="22"/>
        </w:rPr>
        <w:t xml:space="preserve">The </w:t>
      </w:r>
      <w:r w:rsidR="0044338C">
        <w:rPr>
          <w:sz w:val="22"/>
          <w:szCs w:val="22"/>
        </w:rPr>
        <w:t xml:space="preserve">Bureau </w:t>
      </w:r>
      <w:r w:rsidR="00734F2C">
        <w:rPr>
          <w:sz w:val="22"/>
          <w:szCs w:val="22"/>
        </w:rPr>
        <w:t>was</w:t>
      </w:r>
      <w:r w:rsidR="0044338C">
        <w:rPr>
          <w:sz w:val="22"/>
          <w:szCs w:val="22"/>
        </w:rPr>
        <w:t xml:space="preserve"> very clear that any Form 349 proposal which differs from the original tech box proposal and proposes a transmitter site within </w:t>
      </w:r>
      <w:r w:rsidR="003F3C00">
        <w:rPr>
          <w:sz w:val="22"/>
          <w:szCs w:val="22"/>
        </w:rPr>
        <w:t>a</w:t>
      </w:r>
      <w:r w:rsidR="0044338C">
        <w:rPr>
          <w:sz w:val="22"/>
          <w:szCs w:val="22"/>
        </w:rPr>
        <w:t xml:space="preserve"> 39</w:t>
      </w:r>
      <w:r w:rsidR="003F3C00">
        <w:rPr>
          <w:sz w:val="22"/>
          <w:szCs w:val="22"/>
        </w:rPr>
        <w:t>-</w:t>
      </w:r>
      <w:r w:rsidR="0044338C">
        <w:rPr>
          <w:sz w:val="22"/>
          <w:szCs w:val="22"/>
        </w:rPr>
        <w:t xml:space="preserve">kilometer </w:t>
      </w:r>
      <w:r w:rsidR="003C766D">
        <w:rPr>
          <w:sz w:val="22"/>
          <w:szCs w:val="22"/>
        </w:rPr>
        <w:t>“</w:t>
      </w:r>
      <w:r w:rsidR="0044338C">
        <w:rPr>
          <w:sz w:val="22"/>
          <w:szCs w:val="22"/>
        </w:rPr>
        <w:t>buffer zone,</w:t>
      </w:r>
      <w:r w:rsidR="003C766D">
        <w:rPr>
          <w:sz w:val="22"/>
          <w:szCs w:val="22"/>
        </w:rPr>
        <w:t>”</w:t>
      </w:r>
      <w:r w:rsidR="0044338C">
        <w:rPr>
          <w:sz w:val="22"/>
          <w:szCs w:val="22"/>
        </w:rPr>
        <w:t xml:space="preserve"> as here, must file a Preclusion Showing</w:t>
      </w:r>
      <w:r w:rsidRPr="006059AF">
        <w:rPr>
          <w:sz w:val="22"/>
          <w:szCs w:val="22"/>
        </w:rPr>
        <w:t>.</w:t>
      </w:r>
      <w:r w:rsidR="00E53D86">
        <w:rPr>
          <w:rStyle w:val="FootnoteReference"/>
          <w:sz w:val="22"/>
          <w:szCs w:val="22"/>
        </w:rPr>
        <w:footnoteReference w:id="17"/>
      </w:r>
      <w:r w:rsidR="00DC099B">
        <w:rPr>
          <w:sz w:val="22"/>
          <w:szCs w:val="22"/>
        </w:rPr>
        <w:t xml:space="preserve">  The Bureau also </w:t>
      </w:r>
      <w:r w:rsidR="00734F2C">
        <w:rPr>
          <w:sz w:val="22"/>
          <w:szCs w:val="22"/>
        </w:rPr>
        <w:t xml:space="preserve">was </w:t>
      </w:r>
      <w:r w:rsidR="00DC099B">
        <w:rPr>
          <w:sz w:val="22"/>
          <w:szCs w:val="22"/>
        </w:rPr>
        <w:t>very clear</w:t>
      </w:r>
      <w:r w:rsidR="00734F2C">
        <w:rPr>
          <w:sz w:val="22"/>
          <w:szCs w:val="22"/>
        </w:rPr>
        <w:t xml:space="preserve"> </w:t>
      </w:r>
      <w:r w:rsidR="003C766D">
        <w:rPr>
          <w:sz w:val="22"/>
          <w:szCs w:val="22"/>
        </w:rPr>
        <w:t>that</w:t>
      </w:r>
      <w:r w:rsidR="00DC099B">
        <w:rPr>
          <w:sz w:val="22"/>
          <w:szCs w:val="22"/>
        </w:rPr>
        <w:t xml:space="preserve"> “</w:t>
      </w:r>
      <w:r w:rsidR="003C766D">
        <w:rPr>
          <w:sz w:val="22"/>
          <w:szCs w:val="22"/>
        </w:rPr>
        <w:t>a</w:t>
      </w:r>
      <w:r w:rsidR="00DC099B">
        <w:rPr>
          <w:sz w:val="22"/>
          <w:szCs w:val="22"/>
        </w:rPr>
        <w:t xml:space="preserve"> </w:t>
      </w:r>
      <w:r w:rsidR="00AC24FD">
        <w:rPr>
          <w:sz w:val="22"/>
          <w:szCs w:val="22"/>
        </w:rPr>
        <w:t>[P]</w:t>
      </w:r>
      <w:r w:rsidR="00DC099B">
        <w:rPr>
          <w:sz w:val="22"/>
          <w:szCs w:val="22"/>
        </w:rPr>
        <w:t xml:space="preserve">reclusion </w:t>
      </w:r>
      <w:r w:rsidR="00AC24FD">
        <w:rPr>
          <w:sz w:val="22"/>
          <w:szCs w:val="22"/>
        </w:rPr>
        <w:t>[S]</w:t>
      </w:r>
      <w:r w:rsidR="00DC099B">
        <w:rPr>
          <w:sz w:val="22"/>
          <w:szCs w:val="22"/>
        </w:rPr>
        <w:t>howing may not be submitted, amended, corrected, completed or resubmitted for further consideration after the Application Deadline [of March 28, 2013].”</w:t>
      </w:r>
      <w:r w:rsidR="00DC099B">
        <w:rPr>
          <w:rStyle w:val="FootnoteReference"/>
          <w:sz w:val="22"/>
          <w:szCs w:val="22"/>
        </w:rPr>
        <w:footnoteReference w:id="18"/>
      </w:r>
      <w:r w:rsidR="00292752">
        <w:rPr>
          <w:sz w:val="22"/>
          <w:szCs w:val="22"/>
        </w:rPr>
        <w:t xml:space="preserve">  </w:t>
      </w:r>
      <w:r w:rsidR="00DB66C3">
        <w:rPr>
          <w:sz w:val="22"/>
          <w:szCs w:val="22"/>
        </w:rPr>
        <w:t>It is well established that a</w:t>
      </w:r>
      <w:r w:rsidR="00DC4840">
        <w:rPr>
          <w:sz w:val="22"/>
          <w:szCs w:val="22"/>
        </w:rPr>
        <w:t xml:space="preserve">pplicants </w:t>
      </w:r>
      <w:r w:rsidR="003F3C00">
        <w:rPr>
          <w:sz w:val="22"/>
          <w:szCs w:val="22"/>
        </w:rPr>
        <w:t xml:space="preserve">are required to </w:t>
      </w:r>
      <w:r w:rsidR="00DC4840">
        <w:rPr>
          <w:sz w:val="22"/>
          <w:szCs w:val="22"/>
        </w:rPr>
        <w:t xml:space="preserve">comply with </w:t>
      </w:r>
      <w:r w:rsidR="003F3C00">
        <w:rPr>
          <w:sz w:val="22"/>
          <w:szCs w:val="22"/>
        </w:rPr>
        <w:t>filing requirements set forth in public notices but not codified in the Rules</w:t>
      </w:r>
      <w:r w:rsidR="00DC4840">
        <w:rPr>
          <w:sz w:val="22"/>
          <w:szCs w:val="22"/>
        </w:rPr>
        <w:t>.</w:t>
      </w:r>
      <w:r w:rsidR="00DC4840">
        <w:rPr>
          <w:rStyle w:val="FootnoteReference"/>
          <w:sz w:val="22"/>
          <w:szCs w:val="22"/>
        </w:rPr>
        <w:footnoteReference w:id="19"/>
      </w:r>
      <w:r w:rsidR="003F3C00">
        <w:rPr>
          <w:sz w:val="22"/>
          <w:szCs w:val="22"/>
        </w:rPr>
        <w:t xml:space="preserve">  </w:t>
      </w:r>
      <w:r w:rsidR="00A124EF">
        <w:rPr>
          <w:sz w:val="22"/>
          <w:szCs w:val="22"/>
        </w:rPr>
        <w:t>Accordingly</w:t>
      </w:r>
      <w:r w:rsidR="003F3C00">
        <w:rPr>
          <w:sz w:val="22"/>
          <w:szCs w:val="22"/>
        </w:rPr>
        <w:t>, Schober’s argument to the contrary is without merit.</w:t>
      </w:r>
      <w:r w:rsidR="00DC4840">
        <w:rPr>
          <w:sz w:val="22"/>
          <w:szCs w:val="22"/>
        </w:rPr>
        <w:t xml:space="preserve">  </w:t>
      </w:r>
      <w:r w:rsidR="00DC099B">
        <w:rPr>
          <w:sz w:val="22"/>
          <w:szCs w:val="22"/>
        </w:rPr>
        <w:t xml:space="preserve">   </w:t>
      </w:r>
      <w:r w:rsidR="0044338C">
        <w:rPr>
          <w:sz w:val="22"/>
          <w:szCs w:val="22"/>
        </w:rPr>
        <w:t xml:space="preserve">  </w:t>
      </w:r>
      <w:r w:rsidRPr="006059AF">
        <w:rPr>
          <w:sz w:val="22"/>
          <w:szCs w:val="22"/>
        </w:rPr>
        <w:t xml:space="preserve"> </w:t>
      </w:r>
    </w:p>
    <w:p w:rsidR="004229E6" w:rsidRDefault="004229E6" w:rsidP="006A1BC8">
      <w:pPr>
        <w:autoSpaceDE w:val="0"/>
        <w:autoSpaceDN w:val="0"/>
        <w:adjustRightInd w:val="0"/>
        <w:rPr>
          <w:sz w:val="22"/>
          <w:szCs w:val="22"/>
        </w:rPr>
      </w:pPr>
    </w:p>
    <w:p w:rsidR="00D110B0" w:rsidRDefault="004229E6" w:rsidP="00D110B0">
      <w:pPr>
        <w:autoSpaceDE w:val="0"/>
        <w:autoSpaceDN w:val="0"/>
        <w:adjustRightInd w:val="0"/>
        <w:rPr>
          <w:sz w:val="22"/>
          <w:szCs w:val="22"/>
          <w:vertAlign w:val="superscript"/>
        </w:rPr>
      </w:pPr>
      <w:r>
        <w:rPr>
          <w:sz w:val="22"/>
          <w:szCs w:val="22"/>
        </w:rPr>
        <w:tab/>
      </w:r>
      <w:r w:rsidR="00780418">
        <w:rPr>
          <w:sz w:val="22"/>
          <w:szCs w:val="22"/>
        </w:rPr>
        <w:t xml:space="preserve">We </w:t>
      </w:r>
      <w:r w:rsidR="003F3C00">
        <w:rPr>
          <w:sz w:val="22"/>
          <w:szCs w:val="22"/>
        </w:rPr>
        <w:t xml:space="preserve">also </w:t>
      </w:r>
      <w:r w:rsidR="00780418">
        <w:rPr>
          <w:sz w:val="22"/>
          <w:szCs w:val="22"/>
        </w:rPr>
        <w:t xml:space="preserve">reject </w:t>
      </w:r>
      <w:r>
        <w:rPr>
          <w:sz w:val="22"/>
          <w:szCs w:val="22"/>
        </w:rPr>
        <w:t>Schober</w:t>
      </w:r>
      <w:r w:rsidR="00780418">
        <w:rPr>
          <w:sz w:val="22"/>
          <w:szCs w:val="22"/>
        </w:rPr>
        <w:t>’s</w:t>
      </w:r>
      <w:r>
        <w:rPr>
          <w:sz w:val="22"/>
          <w:szCs w:val="22"/>
        </w:rPr>
        <w:t xml:space="preserve"> assert</w:t>
      </w:r>
      <w:r w:rsidR="00780418">
        <w:rPr>
          <w:sz w:val="22"/>
          <w:szCs w:val="22"/>
        </w:rPr>
        <w:t>ion</w:t>
      </w:r>
      <w:r>
        <w:rPr>
          <w:sz w:val="22"/>
          <w:szCs w:val="22"/>
        </w:rPr>
        <w:t xml:space="preserve"> that </w:t>
      </w:r>
      <w:r w:rsidR="003F3C00">
        <w:rPr>
          <w:sz w:val="22"/>
          <w:szCs w:val="22"/>
        </w:rPr>
        <w:t xml:space="preserve">a waiver of the Preclusion Showing </w:t>
      </w:r>
      <w:r w:rsidR="00DB66C3">
        <w:rPr>
          <w:sz w:val="22"/>
          <w:szCs w:val="22"/>
        </w:rPr>
        <w:t xml:space="preserve">filing </w:t>
      </w:r>
      <w:r w:rsidR="003F3C00">
        <w:rPr>
          <w:sz w:val="22"/>
          <w:szCs w:val="22"/>
        </w:rPr>
        <w:t xml:space="preserve">deadline is warranted </w:t>
      </w:r>
      <w:r w:rsidRPr="004229E6">
        <w:rPr>
          <w:sz w:val="22"/>
          <w:szCs w:val="22"/>
        </w:rPr>
        <w:t>due to his “confusion</w:t>
      </w:r>
      <w:r w:rsidR="003F3C00">
        <w:rPr>
          <w:sz w:val="22"/>
          <w:szCs w:val="22"/>
        </w:rPr>
        <w:t>.</w:t>
      </w:r>
      <w:r w:rsidRPr="004229E6">
        <w:rPr>
          <w:sz w:val="22"/>
          <w:szCs w:val="22"/>
        </w:rPr>
        <w:t>”</w:t>
      </w:r>
      <w:r w:rsidRPr="004229E6">
        <w:rPr>
          <w:sz w:val="22"/>
          <w:szCs w:val="22"/>
          <w:vertAlign w:val="superscript"/>
        </w:rPr>
        <w:footnoteReference w:id="20"/>
      </w:r>
      <w:r w:rsidRPr="004229E6">
        <w:rPr>
          <w:sz w:val="22"/>
          <w:szCs w:val="22"/>
        </w:rPr>
        <w:t xml:space="preserve">  </w:t>
      </w:r>
      <w:r w:rsidR="000B3F09">
        <w:rPr>
          <w:sz w:val="22"/>
          <w:szCs w:val="22"/>
        </w:rPr>
        <w:t>It is well settled</w:t>
      </w:r>
      <w:r w:rsidR="00780418" w:rsidRPr="004229E6">
        <w:rPr>
          <w:sz w:val="22"/>
          <w:szCs w:val="22"/>
        </w:rPr>
        <w:t xml:space="preserve"> that applicants are charged with knowledge of the </w:t>
      </w:r>
      <w:r w:rsidR="00780418">
        <w:rPr>
          <w:sz w:val="22"/>
          <w:szCs w:val="22"/>
        </w:rPr>
        <w:t xml:space="preserve">Commission’s </w:t>
      </w:r>
      <w:r w:rsidR="00780418" w:rsidRPr="004229E6">
        <w:rPr>
          <w:sz w:val="22"/>
          <w:szCs w:val="22"/>
        </w:rPr>
        <w:t>processing rules.</w:t>
      </w:r>
      <w:r w:rsidR="00780418" w:rsidRPr="004229E6">
        <w:rPr>
          <w:sz w:val="22"/>
          <w:szCs w:val="22"/>
          <w:vertAlign w:val="superscript"/>
        </w:rPr>
        <w:footnoteReference w:id="21"/>
      </w:r>
      <w:r w:rsidR="00780418" w:rsidRPr="004229E6">
        <w:rPr>
          <w:sz w:val="22"/>
          <w:szCs w:val="22"/>
        </w:rPr>
        <w:t xml:space="preserve">  </w:t>
      </w:r>
      <w:r w:rsidR="00780418">
        <w:rPr>
          <w:sz w:val="22"/>
          <w:szCs w:val="22"/>
        </w:rPr>
        <w:t xml:space="preserve">A professed </w:t>
      </w:r>
      <w:r w:rsidRPr="004229E6">
        <w:rPr>
          <w:sz w:val="22"/>
          <w:szCs w:val="22"/>
        </w:rPr>
        <w:t xml:space="preserve">lack of knowledge of </w:t>
      </w:r>
      <w:r w:rsidR="003F3C00">
        <w:rPr>
          <w:sz w:val="22"/>
          <w:szCs w:val="22"/>
        </w:rPr>
        <w:t>and/</w:t>
      </w:r>
      <w:r w:rsidRPr="004229E6">
        <w:rPr>
          <w:sz w:val="22"/>
          <w:szCs w:val="22"/>
        </w:rPr>
        <w:t xml:space="preserve">or failure to understand the Commission’s rules and policies do not excuse </w:t>
      </w:r>
      <w:r w:rsidR="003F3C00">
        <w:rPr>
          <w:sz w:val="22"/>
          <w:szCs w:val="22"/>
        </w:rPr>
        <w:t xml:space="preserve">the </w:t>
      </w:r>
      <w:r w:rsidRPr="004229E6">
        <w:rPr>
          <w:sz w:val="22"/>
          <w:szCs w:val="22"/>
        </w:rPr>
        <w:t>failure to meet a filing deadline.</w:t>
      </w:r>
      <w:r w:rsidRPr="004229E6">
        <w:rPr>
          <w:sz w:val="22"/>
          <w:szCs w:val="22"/>
          <w:vertAlign w:val="superscript"/>
        </w:rPr>
        <w:footnoteReference w:id="22"/>
      </w:r>
      <w:r w:rsidRPr="004229E6">
        <w:rPr>
          <w:sz w:val="22"/>
          <w:szCs w:val="22"/>
        </w:rPr>
        <w:t xml:space="preserve">  </w:t>
      </w:r>
      <w:r w:rsidR="003F3C00">
        <w:rPr>
          <w:sz w:val="22"/>
          <w:szCs w:val="22"/>
        </w:rPr>
        <w:t xml:space="preserve">We note that </w:t>
      </w:r>
      <w:r w:rsidRPr="004229E6">
        <w:rPr>
          <w:sz w:val="22"/>
          <w:szCs w:val="22"/>
        </w:rPr>
        <w:t xml:space="preserve">the </w:t>
      </w:r>
      <w:r w:rsidRPr="004229E6">
        <w:rPr>
          <w:i/>
          <w:sz w:val="22"/>
          <w:szCs w:val="22"/>
        </w:rPr>
        <w:t>Filing Window</w:t>
      </w:r>
      <w:r w:rsidRPr="004229E6">
        <w:rPr>
          <w:i/>
          <w:iCs/>
          <w:sz w:val="22"/>
          <w:szCs w:val="22"/>
        </w:rPr>
        <w:t xml:space="preserve"> </w:t>
      </w:r>
      <w:r w:rsidRPr="004229E6">
        <w:rPr>
          <w:sz w:val="22"/>
          <w:szCs w:val="22"/>
        </w:rPr>
        <w:t xml:space="preserve">and </w:t>
      </w:r>
      <w:r w:rsidRPr="004229E6">
        <w:rPr>
          <w:i/>
          <w:sz w:val="22"/>
          <w:szCs w:val="22"/>
        </w:rPr>
        <w:t>Guidance PNs</w:t>
      </w:r>
      <w:r w:rsidRPr="004229E6">
        <w:rPr>
          <w:sz w:val="22"/>
          <w:szCs w:val="22"/>
        </w:rPr>
        <w:t xml:space="preserve"> contain contact </w:t>
      </w:r>
      <w:r w:rsidR="00277720">
        <w:rPr>
          <w:sz w:val="22"/>
          <w:szCs w:val="22"/>
        </w:rPr>
        <w:t>information for</w:t>
      </w:r>
      <w:r w:rsidRPr="004229E6">
        <w:rPr>
          <w:sz w:val="22"/>
          <w:szCs w:val="22"/>
        </w:rPr>
        <w:t xml:space="preserve"> Bureau representatives </w:t>
      </w:r>
      <w:r w:rsidR="00277720">
        <w:rPr>
          <w:sz w:val="22"/>
          <w:szCs w:val="22"/>
        </w:rPr>
        <w:t xml:space="preserve">to assist </w:t>
      </w:r>
      <w:r w:rsidRPr="004229E6">
        <w:rPr>
          <w:sz w:val="22"/>
          <w:szCs w:val="22"/>
        </w:rPr>
        <w:t>applicants requiring additional guidance.</w:t>
      </w:r>
      <w:r w:rsidRPr="004229E6">
        <w:rPr>
          <w:sz w:val="22"/>
          <w:szCs w:val="22"/>
          <w:vertAlign w:val="superscript"/>
        </w:rPr>
        <w:footnoteReference w:id="23"/>
      </w:r>
      <w:r w:rsidR="00C30CCA">
        <w:rPr>
          <w:sz w:val="22"/>
          <w:szCs w:val="22"/>
        </w:rPr>
        <w:t xml:space="preserve">  </w:t>
      </w:r>
      <w:bookmarkStart w:id="18" w:name="FN[FN111]"/>
      <w:bookmarkStart w:id="19" w:name="SR;572"/>
      <w:bookmarkStart w:id="20" w:name="SR;573"/>
      <w:bookmarkStart w:id="21" w:name="SR;5434"/>
      <w:bookmarkStart w:id="22" w:name="SR;941"/>
      <w:bookmarkStart w:id="23" w:name="SR;5453"/>
      <w:bookmarkStart w:id="24" w:name="SR;5454"/>
      <w:bookmarkStart w:id="25" w:name="SR;946"/>
      <w:bookmarkStart w:id="26" w:name="SR;947"/>
      <w:bookmarkStart w:id="27" w:name="SR;5439"/>
      <w:bookmarkStart w:id="28" w:name="SR;1086"/>
      <w:bookmarkStart w:id="29" w:name="FN[FN114]"/>
      <w:bookmarkStart w:id="30" w:name="FN[FN115]"/>
      <w:bookmarkEnd w:id="18"/>
      <w:bookmarkEnd w:id="19"/>
      <w:bookmarkEnd w:id="20"/>
      <w:bookmarkEnd w:id="21"/>
      <w:bookmarkEnd w:id="22"/>
      <w:bookmarkEnd w:id="23"/>
      <w:bookmarkEnd w:id="24"/>
      <w:bookmarkEnd w:id="25"/>
      <w:bookmarkEnd w:id="26"/>
      <w:bookmarkEnd w:id="27"/>
      <w:bookmarkEnd w:id="28"/>
      <w:bookmarkEnd w:id="29"/>
      <w:bookmarkEnd w:id="30"/>
      <w:r w:rsidR="00C30CCA">
        <w:rPr>
          <w:sz w:val="22"/>
          <w:szCs w:val="22"/>
        </w:rPr>
        <w:t>Moreover</w:t>
      </w:r>
      <w:r w:rsidR="00BA0556">
        <w:rPr>
          <w:sz w:val="22"/>
          <w:szCs w:val="22"/>
        </w:rPr>
        <w:t xml:space="preserve">, </w:t>
      </w:r>
      <w:r w:rsidR="00163FB2">
        <w:rPr>
          <w:sz w:val="22"/>
          <w:szCs w:val="22"/>
        </w:rPr>
        <w:t xml:space="preserve">permitting Schober to file a Preclusion Showing at this point </w:t>
      </w:r>
      <w:r w:rsidR="00D110B0" w:rsidRPr="00D110B0">
        <w:rPr>
          <w:sz w:val="22"/>
          <w:szCs w:val="22"/>
        </w:rPr>
        <w:t xml:space="preserve">would frustrate </w:t>
      </w:r>
      <w:r w:rsidR="00E74E67">
        <w:rPr>
          <w:sz w:val="22"/>
          <w:szCs w:val="22"/>
        </w:rPr>
        <w:t>the processing efficiencies which the filing deadline was designed to promote</w:t>
      </w:r>
      <w:r w:rsidR="00C30CCA">
        <w:rPr>
          <w:sz w:val="22"/>
          <w:szCs w:val="22"/>
        </w:rPr>
        <w:t xml:space="preserve"> and would be unfair to the many applicants who fully complied with all filing requirements</w:t>
      </w:r>
      <w:r w:rsidR="00E74E67">
        <w:rPr>
          <w:sz w:val="22"/>
          <w:szCs w:val="22"/>
        </w:rPr>
        <w:t>.</w:t>
      </w:r>
      <w:r w:rsidR="009C3DE7" w:rsidRPr="009C3DE7">
        <w:rPr>
          <w:sz w:val="22"/>
          <w:szCs w:val="22"/>
          <w:vertAlign w:val="superscript"/>
        </w:rPr>
        <w:footnoteReference w:id="24"/>
      </w:r>
      <w:r w:rsidR="00174F90">
        <w:rPr>
          <w:sz w:val="22"/>
          <w:szCs w:val="22"/>
        </w:rPr>
        <w:t xml:space="preserve">  </w:t>
      </w:r>
      <w:bookmarkStart w:id="31" w:name="FN[FN10]"/>
      <w:bookmarkEnd w:id="31"/>
      <w:r w:rsidR="00D110B0">
        <w:rPr>
          <w:sz w:val="22"/>
          <w:szCs w:val="22"/>
        </w:rPr>
        <w:t xml:space="preserve">  </w:t>
      </w:r>
      <w:bookmarkStart w:id="32" w:name="SR;739"/>
      <w:bookmarkStart w:id="33" w:name="SR;749"/>
      <w:bookmarkStart w:id="34" w:name="SR;751"/>
      <w:bookmarkStart w:id="35" w:name="SR;752"/>
      <w:bookmarkStart w:id="36" w:name="SR;756"/>
      <w:bookmarkEnd w:id="32"/>
      <w:bookmarkEnd w:id="33"/>
      <w:bookmarkEnd w:id="34"/>
      <w:bookmarkEnd w:id="35"/>
      <w:bookmarkEnd w:id="36"/>
      <w:r w:rsidR="00D110B0" w:rsidRPr="00D110B0">
        <w:rPr>
          <w:sz w:val="22"/>
          <w:szCs w:val="22"/>
          <w:vertAlign w:val="superscript"/>
        </w:rPr>
        <w:t xml:space="preserve">  </w:t>
      </w:r>
      <w:bookmarkStart w:id="37" w:name="FN[FN78]"/>
      <w:bookmarkEnd w:id="37"/>
    </w:p>
    <w:p w:rsidR="00C5432D" w:rsidRDefault="00575B90" w:rsidP="00A124EF">
      <w:pPr>
        <w:autoSpaceDE w:val="0"/>
        <w:autoSpaceDN w:val="0"/>
        <w:adjustRightInd w:val="0"/>
        <w:rPr>
          <w:sz w:val="22"/>
          <w:szCs w:val="22"/>
        </w:rPr>
      </w:pPr>
      <w:r>
        <w:rPr>
          <w:sz w:val="22"/>
          <w:szCs w:val="22"/>
        </w:rPr>
        <w:tab/>
      </w:r>
      <w:r w:rsidR="00192BA4">
        <w:rPr>
          <w:sz w:val="22"/>
          <w:szCs w:val="22"/>
        </w:rPr>
        <w:t xml:space="preserve">Finally, </w:t>
      </w:r>
      <w:r w:rsidR="00DC2C6A">
        <w:rPr>
          <w:sz w:val="22"/>
          <w:szCs w:val="22"/>
        </w:rPr>
        <w:t>we reject</w:t>
      </w:r>
      <w:r w:rsidR="00CC2A3C">
        <w:rPr>
          <w:sz w:val="22"/>
          <w:szCs w:val="22"/>
        </w:rPr>
        <w:t xml:space="preserve"> Schober’s claim that reinstatement of the Denton Applications would be in the public interest because the</w:t>
      </w:r>
      <w:r w:rsidR="00DB66C3">
        <w:rPr>
          <w:sz w:val="22"/>
          <w:szCs w:val="22"/>
        </w:rPr>
        <w:t xml:space="preserve"> proposed stations </w:t>
      </w:r>
      <w:r w:rsidR="00AA0714">
        <w:rPr>
          <w:sz w:val="22"/>
          <w:szCs w:val="22"/>
        </w:rPr>
        <w:t>w</w:t>
      </w:r>
      <w:r w:rsidR="00DC2C6A">
        <w:rPr>
          <w:sz w:val="22"/>
          <w:szCs w:val="22"/>
        </w:rPr>
        <w:t>ould improve local service to the rural area here</w:t>
      </w:r>
      <w:r w:rsidR="00CC2A3C">
        <w:rPr>
          <w:sz w:val="22"/>
          <w:szCs w:val="22"/>
        </w:rPr>
        <w:t xml:space="preserve">.  Our engineering staff has determined that </w:t>
      </w:r>
      <w:r w:rsidR="0067311D">
        <w:rPr>
          <w:sz w:val="22"/>
          <w:szCs w:val="22"/>
        </w:rPr>
        <w:t xml:space="preserve">currently </w:t>
      </w:r>
      <w:r w:rsidR="00AA0714">
        <w:rPr>
          <w:sz w:val="22"/>
          <w:szCs w:val="22"/>
        </w:rPr>
        <w:t>the</w:t>
      </w:r>
      <w:r w:rsidR="00BA4331">
        <w:rPr>
          <w:sz w:val="22"/>
          <w:szCs w:val="22"/>
        </w:rPr>
        <w:t xml:space="preserve">re are </w:t>
      </w:r>
      <w:r w:rsidR="00DC2C6A">
        <w:rPr>
          <w:sz w:val="22"/>
          <w:szCs w:val="22"/>
        </w:rPr>
        <w:t xml:space="preserve">at least </w:t>
      </w:r>
      <w:r w:rsidR="00BA4331">
        <w:rPr>
          <w:sz w:val="22"/>
          <w:szCs w:val="22"/>
        </w:rPr>
        <w:t>five stations providing service to the area proposed by the Denton Applications</w:t>
      </w:r>
      <w:r w:rsidR="00AA0714">
        <w:rPr>
          <w:sz w:val="22"/>
          <w:szCs w:val="22"/>
        </w:rPr>
        <w:t>.</w:t>
      </w:r>
      <w:r w:rsidR="00BA4331">
        <w:rPr>
          <w:rStyle w:val="FootnoteReference"/>
          <w:sz w:val="22"/>
          <w:szCs w:val="22"/>
        </w:rPr>
        <w:footnoteReference w:id="25"/>
      </w:r>
      <w:r w:rsidR="00AA0714">
        <w:rPr>
          <w:sz w:val="22"/>
          <w:szCs w:val="22"/>
        </w:rPr>
        <w:t xml:space="preserve">  </w:t>
      </w:r>
      <w:r w:rsidR="009D1C29" w:rsidRPr="00C21985">
        <w:rPr>
          <w:sz w:val="22"/>
          <w:szCs w:val="22"/>
        </w:rPr>
        <w:t xml:space="preserve">             </w:t>
      </w:r>
    </w:p>
    <w:p w:rsidR="00C5432D" w:rsidRDefault="00C5432D" w:rsidP="00A124EF">
      <w:pPr>
        <w:autoSpaceDE w:val="0"/>
        <w:autoSpaceDN w:val="0"/>
        <w:adjustRightInd w:val="0"/>
        <w:rPr>
          <w:sz w:val="22"/>
          <w:szCs w:val="22"/>
        </w:rPr>
      </w:pPr>
    </w:p>
    <w:p w:rsidR="00ED4AEE" w:rsidRDefault="00C5432D" w:rsidP="00A124EF">
      <w:pPr>
        <w:autoSpaceDE w:val="0"/>
        <w:autoSpaceDN w:val="0"/>
        <w:adjustRightInd w:val="0"/>
        <w:rPr>
          <w:sz w:val="22"/>
          <w:szCs w:val="22"/>
        </w:rPr>
      </w:pPr>
      <w:r>
        <w:rPr>
          <w:sz w:val="22"/>
          <w:szCs w:val="22"/>
        </w:rPr>
        <w:t xml:space="preserve">             </w:t>
      </w:r>
      <w:r w:rsidR="004F59C0" w:rsidRPr="00C21985">
        <w:rPr>
          <w:b/>
          <w:sz w:val="22"/>
          <w:szCs w:val="22"/>
        </w:rPr>
        <w:t>Con</w:t>
      </w:r>
      <w:r w:rsidR="00BB204B" w:rsidRPr="00C21985">
        <w:rPr>
          <w:b/>
          <w:sz w:val="22"/>
          <w:szCs w:val="22"/>
        </w:rPr>
        <w:t>clusion/Actions</w:t>
      </w:r>
      <w:r w:rsidR="00BB204B" w:rsidRPr="00C21985">
        <w:rPr>
          <w:sz w:val="22"/>
          <w:szCs w:val="22"/>
        </w:rPr>
        <w:t>.</w:t>
      </w:r>
      <w:r w:rsidR="00BB204B" w:rsidRPr="00BB204B">
        <w:rPr>
          <w:sz w:val="22"/>
          <w:szCs w:val="22"/>
        </w:rPr>
        <w:t xml:space="preserve">  </w:t>
      </w:r>
      <w:r w:rsidR="00490140" w:rsidRPr="00490140">
        <w:rPr>
          <w:sz w:val="22"/>
          <w:szCs w:val="22"/>
        </w:rPr>
        <w:t xml:space="preserve">We find that </w:t>
      </w:r>
      <w:r w:rsidR="004561CE">
        <w:rPr>
          <w:sz w:val="22"/>
          <w:szCs w:val="22"/>
        </w:rPr>
        <w:t>Schober</w:t>
      </w:r>
      <w:r w:rsidR="00490140" w:rsidRPr="00490140">
        <w:rPr>
          <w:sz w:val="22"/>
          <w:szCs w:val="22"/>
        </w:rPr>
        <w:t xml:space="preserve"> has not set forth an error of fact or law, or presented new facts or changed circumstances which raise substantial or material questions of fact that otherwise warrant reconsideration of the </w:t>
      </w:r>
      <w:r w:rsidR="00490140">
        <w:rPr>
          <w:sz w:val="22"/>
          <w:szCs w:val="22"/>
        </w:rPr>
        <w:t>staff’s action</w:t>
      </w:r>
      <w:r w:rsidR="00490140" w:rsidRPr="00490140">
        <w:rPr>
          <w:sz w:val="22"/>
          <w:szCs w:val="22"/>
        </w:rPr>
        <w:t>.</w:t>
      </w:r>
      <w:r w:rsidR="00490140">
        <w:rPr>
          <w:sz w:val="22"/>
          <w:szCs w:val="22"/>
        </w:rPr>
        <w:t xml:space="preserve">  </w:t>
      </w:r>
      <w:r w:rsidR="00BB204B" w:rsidRPr="00BB204B">
        <w:rPr>
          <w:sz w:val="22"/>
          <w:szCs w:val="22"/>
        </w:rPr>
        <w:t xml:space="preserve">Accordingly, </w:t>
      </w:r>
      <w:bookmarkStart w:id="38" w:name="SR;3654"/>
      <w:bookmarkEnd w:id="38"/>
      <w:r w:rsidR="00BB204B" w:rsidRPr="00BB204B">
        <w:rPr>
          <w:sz w:val="22"/>
          <w:szCs w:val="22"/>
        </w:rPr>
        <w:t xml:space="preserve">for the reasons set forth above, IT </w:t>
      </w:r>
      <w:bookmarkStart w:id="39" w:name="SR;3655"/>
      <w:bookmarkEnd w:id="39"/>
      <w:r w:rsidR="00BB204B" w:rsidRPr="00BB204B">
        <w:rPr>
          <w:sz w:val="22"/>
          <w:szCs w:val="22"/>
        </w:rPr>
        <w:t xml:space="preserve">IS </w:t>
      </w:r>
      <w:bookmarkStart w:id="40" w:name="SR;3656"/>
      <w:bookmarkEnd w:id="40"/>
    </w:p>
    <w:p w:rsidR="00BB204B" w:rsidRDefault="00BB204B" w:rsidP="00BB204B">
      <w:pPr>
        <w:rPr>
          <w:sz w:val="22"/>
          <w:szCs w:val="22"/>
        </w:rPr>
      </w:pPr>
      <w:r w:rsidRPr="00BB204B">
        <w:rPr>
          <w:sz w:val="22"/>
          <w:szCs w:val="22"/>
        </w:rPr>
        <w:t>ORDERED, that the</w:t>
      </w:r>
      <w:r w:rsidR="0095080F">
        <w:rPr>
          <w:sz w:val="22"/>
          <w:szCs w:val="22"/>
        </w:rPr>
        <w:t xml:space="preserve"> two</w:t>
      </w:r>
      <w:r w:rsidRPr="00BB204B">
        <w:rPr>
          <w:sz w:val="22"/>
          <w:szCs w:val="22"/>
        </w:rPr>
        <w:t xml:space="preserve"> </w:t>
      </w:r>
      <w:bookmarkStart w:id="41" w:name="SR;3659"/>
      <w:bookmarkEnd w:id="41"/>
      <w:r w:rsidR="000B43AF">
        <w:rPr>
          <w:sz w:val="22"/>
          <w:szCs w:val="22"/>
        </w:rPr>
        <w:t>Ma</w:t>
      </w:r>
      <w:r w:rsidR="004561CE">
        <w:rPr>
          <w:sz w:val="22"/>
          <w:szCs w:val="22"/>
        </w:rPr>
        <w:t>y</w:t>
      </w:r>
      <w:r w:rsidR="000B43AF">
        <w:rPr>
          <w:sz w:val="22"/>
          <w:szCs w:val="22"/>
        </w:rPr>
        <w:t xml:space="preserve"> 1, 2013</w:t>
      </w:r>
      <w:r w:rsidR="00087C2E">
        <w:rPr>
          <w:sz w:val="22"/>
          <w:szCs w:val="22"/>
        </w:rPr>
        <w:t xml:space="preserve">, </w:t>
      </w:r>
      <w:r w:rsidR="000B43AF">
        <w:rPr>
          <w:sz w:val="22"/>
          <w:szCs w:val="22"/>
        </w:rPr>
        <w:t xml:space="preserve">Petitions for Reconsideration filed by </w:t>
      </w:r>
      <w:r w:rsidR="004561CE">
        <w:rPr>
          <w:sz w:val="22"/>
          <w:szCs w:val="22"/>
        </w:rPr>
        <w:t>Edward A. Schober</w:t>
      </w:r>
      <w:r w:rsidR="000B43AF">
        <w:rPr>
          <w:sz w:val="22"/>
          <w:szCs w:val="22"/>
        </w:rPr>
        <w:t xml:space="preserve"> ARE </w:t>
      </w:r>
      <w:bookmarkStart w:id="42" w:name="SR;3666"/>
      <w:bookmarkEnd w:id="42"/>
      <w:r w:rsidRPr="00BB204B">
        <w:rPr>
          <w:sz w:val="22"/>
          <w:szCs w:val="22"/>
        </w:rPr>
        <w:t>DENIED.</w:t>
      </w:r>
    </w:p>
    <w:p w:rsidR="00BB204B" w:rsidRPr="00BB204B" w:rsidRDefault="00C414C6" w:rsidP="00BB204B">
      <w:pPr>
        <w:rPr>
          <w:sz w:val="22"/>
          <w:szCs w:val="22"/>
        </w:rPr>
      </w:pPr>
      <w:r>
        <w:rPr>
          <w:sz w:val="22"/>
          <w:szCs w:val="22"/>
        </w:rPr>
        <w:tab/>
      </w:r>
      <w:bookmarkStart w:id="43" w:name="SR;1878"/>
      <w:bookmarkStart w:id="44" w:name="SR;1906"/>
      <w:bookmarkStart w:id="45" w:name="SR;1908"/>
      <w:bookmarkStart w:id="46" w:name="SR;1914"/>
      <w:bookmarkStart w:id="47" w:name="FN[FN33]"/>
      <w:bookmarkStart w:id="48" w:name="FN[FN34]"/>
      <w:bookmarkStart w:id="49" w:name="SR;1491"/>
      <w:bookmarkEnd w:id="43"/>
      <w:bookmarkEnd w:id="44"/>
      <w:bookmarkEnd w:id="45"/>
      <w:bookmarkEnd w:id="46"/>
      <w:bookmarkEnd w:id="47"/>
      <w:bookmarkEnd w:id="48"/>
      <w:bookmarkEnd w:id="49"/>
      <w:r w:rsidR="000B43AF">
        <w:rPr>
          <w:sz w:val="22"/>
          <w:szCs w:val="22"/>
        </w:rPr>
        <w:tab/>
      </w:r>
      <w:r w:rsidR="000B43AF">
        <w:rPr>
          <w:sz w:val="22"/>
          <w:szCs w:val="22"/>
        </w:rPr>
        <w:tab/>
      </w:r>
      <w:r w:rsidR="004430E4">
        <w:rPr>
          <w:sz w:val="22"/>
          <w:szCs w:val="22"/>
        </w:rPr>
        <w:tab/>
      </w:r>
      <w:r w:rsidR="004430E4">
        <w:rPr>
          <w:sz w:val="22"/>
          <w:szCs w:val="22"/>
        </w:rPr>
        <w:tab/>
      </w:r>
      <w:r w:rsidR="004430E4">
        <w:rPr>
          <w:sz w:val="22"/>
          <w:szCs w:val="22"/>
        </w:rPr>
        <w:tab/>
      </w:r>
      <w:r w:rsidR="004430E4">
        <w:rPr>
          <w:sz w:val="22"/>
          <w:szCs w:val="22"/>
        </w:rPr>
        <w:tab/>
      </w:r>
      <w:r w:rsidR="00BB204B" w:rsidRPr="00BB204B">
        <w:rPr>
          <w:sz w:val="22"/>
          <w:szCs w:val="22"/>
        </w:rPr>
        <w:t>Sincerely,</w:t>
      </w:r>
    </w:p>
    <w:p w:rsidR="00BA4331" w:rsidRDefault="00BA4331" w:rsidP="00BB204B">
      <w:pPr>
        <w:rPr>
          <w:sz w:val="22"/>
          <w:szCs w:val="22"/>
        </w:rPr>
      </w:pPr>
    </w:p>
    <w:p w:rsidR="006A1BC8" w:rsidRDefault="00BB204B" w:rsidP="00BB204B">
      <w:pPr>
        <w:rPr>
          <w:sz w:val="22"/>
          <w:szCs w:val="22"/>
        </w:rPr>
      </w:pPr>
      <w:r w:rsidRPr="00BB204B">
        <w:rPr>
          <w:sz w:val="22"/>
          <w:szCs w:val="22"/>
        </w:rPr>
        <w:t xml:space="preserve">   </w:t>
      </w:r>
      <w:r w:rsidRPr="00BB204B">
        <w:rPr>
          <w:sz w:val="22"/>
          <w:szCs w:val="22"/>
        </w:rPr>
        <w:tab/>
      </w:r>
    </w:p>
    <w:p w:rsidR="00DC267B" w:rsidRPr="00BB204B" w:rsidRDefault="00BB204B" w:rsidP="00BB204B">
      <w:pPr>
        <w:rPr>
          <w:sz w:val="22"/>
          <w:szCs w:val="22"/>
        </w:rPr>
      </w:pPr>
      <w:r w:rsidRPr="00BB204B">
        <w:rPr>
          <w:sz w:val="22"/>
          <w:szCs w:val="22"/>
        </w:rPr>
        <w:tab/>
      </w:r>
      <w:r w:rsidRPr="00BB204B">
        <w:rPr>
          <w:sz w:val="22"/>
          <w:szCs w:val="22"/>
        </w:rPr>
        <w:tab/>
        <w:t xml:space="preserve"> </w:t>
      </w:r>
    </w:p>
    <w:p w:rsidR="00BB204B" w:rsidRPr="00BB204B" w:rsidRDefault="00BB204B" w:rsidP="00BB204B">
      <w:pPr>
        <w:rPr>
          <w:sz w:val="22"/>
          <w:szCs w:val="22"/>
        </w:rPr>
      </w:pPr>
      <w:r w:rsidRPr="00BB204B">
        <w:rPr>
          <w:sz w:val="22"/>
          <w:szCs w:val="22"/>
        </w:rPr>
        <w:tab/>
      </w:r>
      <w:r w:rsidR="008F2A23">
        <w:rPr>
          <w:sz w:val="22"/>
          <w:szCs w:val="22"/>
        </w:rPr>
        <w:tab/>
      </w:r>
      <w:r w:rsidR="008F2A23">
        <w:rPr>
          <w:sz w:val="22"/>
          <w:szCs w:val="22"/>
        </w:rPr>
        <w:tab/>
      </w:r>
      <w:r w:rsidR="008F2A23">
        <w:rPr>
          <w:sz w:val="22"/>
          <w:szCs w:val="22"/>
        </w:rPr>
        <w:tab/>
      </w:r>
      <w:r w:rsidR="008F2A23">
        <w:rPr>
          <w:sz w:val="22"/>
          <w:szCs w:val="22"/>
        </w:rPr>
        <w:tab/>
      </w:r>
      <w:r w:rsidR="008F2A23">
        <w:rPr>
          <w:sz w:val="22"/>
          <w:szCs w:val="22"/>
        </w:rPr>
        <w:tab/>
      </w:r>
      <w:r w:rsidR="008F2A23">
        <w:rPr>
          <w:sz w:val="22"/>
          <w:szCs w:val="22"/>
        </w:rPr>
        <w:tab/>
      </w:r>
      <w:r w:rsidRPr="00BB204B">
        <w:rPr>
          <w:sz w:val="22"/>
          <w:szCs w:val="22"/>
        </w:rPr>
        <w:t>Peter H. Doyle</w:t>
      </w:r>
      <w:r w:rsidRPr="00BB204B">
        <w:rPr>
          <w:sz w:val="22"/>
          <w:szCs w:val="22"/>
        </w:rPr>
        <w:tab/>
        <w:t xml:space="preserve">    </w:t>
      </w:r>
      <w:r w:rsidRPr="00BB204B">
        <w:rPr>
          <w:sz w:val="22"/>
          <w:szCs w:val="22"/>
        </w:rPr>
        <w:tab/>
      </w:r>
      <w:r w:rsidRPr="00BB204B">
        <w:rPr>
          <w:sz w:val="22"/>
          <w:szCs w:val="22"/>
        </w:rPr>
        <w:tab/>
      </w:r>
      <w:r w:rsidRPr="00BB204B">
        <w:rPr>
          <w:sz w:val="22"/>
          <w:szCs w:val="22"/>
        </w:rPr>
        <w:tab/>
      </w:r>
      <w:r w:rsidRPr="00BB204B">
        <w:rPr>
          <w:sz w:val="22"/>
          <w:szCs w:val="22"/>
        </w:rPr>
        <w:tab/>
      </w:r>
      <w:r w:rsidR="008F2A23">
        <w:rPr>
          <w:sz w:val="22"/>
          <w:szCs w:val="22"/>
        </w:rPr>
        <w:tab/>
      </w:r>
      <w:r w:rsidR="008F2A23">
        <w:rPr>
          <w:sz w:val="22"/>
          <w:szCs w:val="22"/>
        </w:rPr>
        <w:tab/>
      </w:r>
      <w:r w:rsidR="008F2A23">
        <w:rPr>
          <w:sz w:val="22"/>
          <w:szCs w:val="22"/>
        </w:rPr>
        <w:tab/>
      </w:r>
      <w:r w:rsidR="008F2A23">
        <w:rPr>
          <w:sz w:val="22"/>
          <w:szCs w:val="22"/>
        </w:rPr>
        <w:tab/>
      </w:r>
      <w:r w:rsidR="008F2A23">
        <w:rPr>
          <w:sz w:val="22"/>
          <w:szCs w:val="22"/>
        </w:rPr>
        <w:tab/>
      </w:r>
      <w:r w:rsidR="008F2A23">
        <w:rPr>
          <w:sz w:val="22"/>
          <w:szCs w:val="22"/>
        </w:rPr>
        <w:tab/>
      </w:r>
      <w:r w:rsidR="008F2A23">
        <w:rPr>
          <w:sz w:val="22"/>
          <w:szCs w:val="22"/>
        </w:rPr>
        <w:tab/>
      </w:r>
      <w:r w:rsidRPr="00BB204B">
        <w:rPr>
          <w:sz w:val="22"/>
          <w:szCs w:val="22"/>
        </w:rPr>
        <w:t>Chief, Audio Division</w:t>
      </w:r>
    </w:p>
    <w:p w:rsidR="00BB204B" w:rsidRDefault="00BB204B" w:rsidP="00BB204B">
      <w:pPr>
        <w:rPr>
          <w:sz w:val="22"/>
          <w:szCs w:val="22"/>
          <w:lang w:val="es-ES_tradnl"/>
        </w:rPr>
      </w:pPr>
      <w:r w:rsidRPr="00BB204B">
        <w:rPr>
          <w:sz w:val="22"/>
          <w:szCs w:val="22"/>
        </w:rPr>
        <w:t xml:space="preserve">    </w:t>
      </w:r>
      <w:r w:rsidRPr="00BB204B">
        <w:rPr>
          <w:sz w:val="22"/>
          <w:szCs w:val="22"/>
        </w:rPr>
        <w:tab/>
      </w:r>
      <w:r w:rsidR="008F2A23">
        <w:rPr>
          <w:sz w:val="22"/>
          <w:szCs w:val="22"/>
        </w:rPr>
        <w:tab/>
      </w:r>
      <w:r w:rsidR="008F2A23">
        <w:rPr>
          <w:sz w:val="22"/>
          <w:szCs w:val="22"/>
        </w:rPr>
        <w:tab/>
      </w:r>
      <w:r w:rsidR="008F2A23">
        <w:rPr>
          <w:sz w:val="22"/>
          <w:szCs w:val="22"/>
        </w:rPr>
        <w:tab/>
      </w:r>
      <w:r w:rsidR="008F2A23">
        <w:rPr>
          <w:sz w:val="22"/>
          <w:szCs w:val="22"/>
        </w:rPr>
        <w:tab/>
      </w:r>
      <w:r w:rsidR="008F2A23">
        <w:rPr>
          <w:sz w:val="22"/>
          <w:szCs w:val="22"/>
        </w:rPr>
        <w:tab/>
      </w:r>
      <w:r w:rsidR="008F2A23">
        <w:rPr>
          <w:sz w:val="22"/>
          <w:szCs w:val="22"/>
        </w:rPr>
        <w:tab/>
      </w:r>
      <w:r w:rsidRPr="00BB204B">
        <w:rPr>
          <w:sz w:val="22"/>
          <w:szCs w:val="22"/>
          <w:lang w:val="es-ES_tradnl"/>
        </w:rPr>
        <w:t>Media Bureau</w:t>
      </w:r>
    </w:p>
    <w:sectPr w:rsidR="00BB204B">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F3A" w:rsidRDefault="00E57F3A">
      <w:r>
        <w:separator/>
      </w:r>
    </w:p>
  </w:endnote>
  <w:endnote w:type="continuationSeparator" w:id="0">
    <w:p w:rsidR="00E57F3A" w:rsidRDefault="00E5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71" w:rsidRDefault="00E07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1C8" w:rsidRDefault="00F521C8">
    <w:pPr>
      <w:pStyle w:val="Footer"/>
      <w:jc w:val="center"/>
    </w:pPr>
    <w:r>
      <w:fldChar w:fldCharType="begin"/>
    </w:r>
    <w:r>
      <w:instrText xml:space="preserve"> PAGE   \* MERGEFORMAT </w:instrText>
    </w:r>
    <w:r>
      <w:fldChar w:fldCharType="separate"/>
    </w:r>
    <w:r w:rsidR="00ED0483">
      <w:rPr>
        <w:noProof/>
      </w:rPr>
      <w:t>2</w:t>
    </w:r>
    <w:r>
      <w:rPr>
        <w:noProof/>
      </w:rPr>
      <w:fldChar w:fldCharType="end"/>
    </w:r>
  </w:p>
  <w:p w:rsidR="00F521C8" w:rsidRDefault="00F521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71" w:rsidRDefault="00E07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F3A" w:rsidRDefault="00E57F3A">
      <w:r>
        <w:separator/>
      </w:r>
    </w:p>
  </w:footnote>
  <w:footnote w:type="continuationSeparator" w:id="0">
    <w:p w:rsidR="00E57F3A" w:rsidRDefault="00E57F3A">
      <w:r>
        <w:continuationSeparator/>
      </w:r>
    </w:p>
    <w:p w:rsidR="00E57F3A" w:rsidRDefault="00E57F3A">
      <w:r>
        <w:t>(Continued from previous page)</w:t>
      </w:r>
    </w:p>
  </w:footnote>
  <w:footnote w:type="continuationNotice" w:id="1">
    <w:p w:rsidR="00E57F3A" w:rsidRDefault="00E57F3A">
      <w:r>
        <w:t>(continued . . .)</w:t>
      </w:r>
    </w:p>
  </w:footnote>
  <w:footnote w:id="2">
    <w:p w:rsidR="00DE515B" w:rsidRDefault="00DE515B" w:rsidP="00C476C2">
      <w:pPr>
        <w:pStyle w:val="FootnoteText"/>
        <w:spacing w:after="120"/>
      </w:pPr>
      <w:r>
        <w:rPr>
          <w:rStyle w:val="FootnoteReference"/>
        </w:rPr>
        <w:footnoteRef/>
      </w:r>
      <w:r>
        <w:t xml:space="preserve"> </w:t>
      </w:r>
      <w:r>
        <w:rPr>
          <w:i/>
        </w:rPr>
        <w:t xml:space="preserve">See </w:t>
      </w:r>
      <w:r w:rsidR="000D4711">
        <w:rPr>
          <w:i/>
        </w:rPr>
        <w:t>Broadcast Actions</w:t>
      </w:r>
      <w:r>
        <w:rPr>
          <w:i/>
        </w:rPr>
        <w:t xml:space="preserve">, </w:t>
      </w:r>
      <w:r>
        <w:t xml:space="preserve">Public Notice, </w:t>
      </w:r>
      <w:r w:rsidR="000D4711">
        <w:t>Report No. 47966</w:t>
      </w:r>
      <w:r>
        <w:t xml:space="preserve"> (rel. </w:t>
      </w:r>
      <w:r w:rsidR="000D4711">
        <w:t>Apr. 12</w:t>
      </w:r>
      <w:r>
        <w:t xml:space="preserve">, 2013). </w:t>
      </w:r>
    </w:p>
  </w:footnote>
  <w:footnote w:id="3">
    <w:p w:rsidR="004F25C2" w:rsidRPr="00F268AA" w:rsidRDefault="004F25C2" w:rsidP="00C476C2">
      <w:pPr>
        <w:pStyle w:val="FootnoteText"/>
        <w:spacing w:after="120"/>
      </w:pPr>
      <w:r>
        <w:rPr>
          <w:rStyle w:val="FootnoteReference"/>
        </w:rPr>
        <w:footnoteRef/>
      </w:r>
      <w:r>
        <w:t xml:space="preserve"> </w:t>
      </w:r>
      <w:r>
        <w:rPr>
          <w:i/>
        </w:rPr>
        <w:t xml:space="preserve">See </w:t>
      </w:r>
      <w:r w:rsidRPr="00BB066F">
        <w:t>F</w:t>
      </w:r>
      <w:r>
        <w:t>ile No</w:t>
      </w:r>
      <w:r w:rsidR="00FC2AC0">
        <w:t>s</w:t>
      </w:r>
      <w:r>
        <w:t>. BNPFT-20030311AC</w:t>
      </w:r>
      <w:r w:rsidR="00FC2AC0">
        <w:t>N and</w:t>
      </w:r>
      <w:r w:rsidR="00EA0D0F">
        <w:t xml:space="preserve"> </w:t>
      </w:r>
      <w:r w:rsidR="00FC2AC0">
        <w:t>BNPFT-20030311ACG</w:t>
      </w:r>
      <w:r w:rsidR="009F2E51">
        <w:t xml:space="preserve"> </w:t>
      </w:r>
      <w:r>
        <w:t>(</w:t>
      </w:r>
      <w:r w:rsidR="00FC2AC0">
        <w:t xml:space="preserve">the </w:t>
      </w:r>
      <w:r>
        <w:t>“</w:t>
      </w:r>
      <w:r w:rsidR="009700B1">
        <w:t xml:space="preserve">Rio Grande </w:t>
      </w:r>
      <w:r>
        <w:t>Application</w:t>
      </w:r>
      <w:r w:rsidR="00FC2AC0">
        <w:t>s</w:t>
      </w:r>
      <w:r>
        <w:t>”).</w:t>
      </w:r>
      <w:r w:rsidR="009F2E51">
        <w:t xml:space="preserve">    </w:t>
      </w:r>
      <w:r>
        <w:t xml:space="preserve">  </w:t>
      </w:r>
      <w:bookmarkStart w:id="1" w:name="FN[FN6]"/>
      <w:bookmarkEnd w:id="1"/>
    </w:p>
  </w:footnote>
  <w:footnote w:id="4">
    <w:p w:rsidR="004F25C2" w:rsidRPr="006872A5" w:rsidRDefault="004F25C2" w:rsidP="00C476C2">
      <w:pPr>
        <w:pStyle w:val="FootnoteText"/>
        <w:spacing w:after="120"/>
      </w:pPr>
      <w:r w:rsidRPr="006872A5">
        <w:rPr>
          <w:rStyle w:val="FootnoteReference"/>
        </w:rPr>
        <w:footnoteRef/>
      </w:r>
      <w:r w:rsidRPr="006872A5">
        <w:t xml:space="preserve"> </w:t>
      </w:r>
      <w:r w:rsidRPr="006872A5">
        <w:rPr>
          <w:i/>
          <w:iCs/>
        </w:rPr>
        <w:t xml:space="preserve">See </w:t>
      </w:r>
      <w:bookmarkStart w:id="2" w:name="SR;1111"/>
      <w:bookmarkEnd w:id="2"/>
      <w:r w:rsidRPr="006872A5">
        <w:fldChar w:fldCharType="begin"/>
      </w:r>
      <w:r w:rsidR="00ED0483">
        <w:instrText>HYPERLINK "http://web2.westlaw.com/find/default.wl?mt=Westlaw&amp;db=0004493&amp;tc=-1&amp;rp=%2ffind%2fdefault.wl&amp;findtype=Y&amp;ordoc=2030146671&amp;serialnum=2003136688&amp;vr=2.0&amp;fn=_top&amp;sv=Split&amp;tf=-1&amp;pbc=33133162&amp;rs=WLW13.01" \t "_top"</w:instrText>
      </w:r>
      <w:r w:rsidRPr="006872A5">
        <w:fldChar w:fldCharType="separate"/>
      </w:r>
      <w:r w:rsidRPr="006872A5">
        <w:rPr>
          <w:rStyle w:val="Hyperlink"/>
          <w:bCs/>
          <w:i/>
          <w:iCs/>
          <w:color w:val="auto"/>
          <w:u w:val="none"/>
        </w:rPr>
        <w:t>FM</w:t>
      </w:r>
      <w:r w:rsidRPr="006872A5">
        <w:rPr>
          <w:rStyle w:val="Hyperlink"/>
          <w:i/>
          <w:iCs/>
          <w:color w:val="auto"/>
          <w:u w:val="none"/>
        </w:rPr>
        <w:t xml:space="preserve"> </w:t>
      </w:r>
      <w:r w:rsidRPr="006872A5">
        <w:rPr>
          <w:rStyle w:val="Hyperlink"/>
          <w:bCs/>
          <w:i/>
          <w:iCs/>
          <w:color w:val="auto"/>
          <w:u w:val="none"/>
        </w:rPr>
        <w:t>Translator</w:t>
      </w:r>
      <w:r w:rsidRPr="006872A5">
        <w:rPr>
          <w:rStyle w:val="Hyperlink"/>
          <w:i/>
          <w:iCs/>
          <w:color w:val="auto"/>
          <w:u w:val="none"/>
        </w:rPr>
        <w:t xml:space="preserve"> Auction </w:t>
      </w:r>
      <w:r w:rsidRPr="006872A5">
        <w:rPr>
          <w:rStyle w:val="Hyperlink"/>
          <w:bCs/>
          <w:i/>
          <w:iCs/>
          <w:color w:val="auto"/>
          <w:u w:val="none"/>
        </w:rPr>
        <w:t>Filing</w:t>
      </w:r>
      <w:r w:rsidRPr="006872A5">
        <w:rPr>
          <w:rStyle w:val="Hyperlink"/>
          <w:i/>
          <w:iCs/>
          <w:color w:val="auto"/>
          <w:u w:val="none"/>
        </w:rPr>
        <w:t xml:space="preserve"> Window and Application Freeze</w:t>
      </w:r>
      <w:r w:rsidRPr="006872A5">
        <w:rPr>
          <w:rStyle w:val="Hyperlink"/>
          <w:color w:val="auto"/>
          <w:u w:val="none"/>
        </w:rPr>
        <w:t xml:space="preserve">, </w:t>
      </w:r>
      <w:r w:rsidRPr="006872A5">
        <w:rPr>
          <w:rStyle w:val="Hyperlink"/>
          <w:bCs/>
          <w:color w:val="auto"/>
          <w:u w:val="none"/>
        </w:rPr>
        <w:t>Public</w:t>
      </w:r>
      <w:r w:rsidRPr="006872A5">
        <w:rPr>
          <w:rStyle w:val="Hyperlink"/>
          <w:color w:val="auto"/>
          <w:u w:val="none"/>
        </w:rPr>
        <w:t xml:space="preserve"> </w:t>
      </w:r>
      <w:r w:rsidRPr="006872A5">
        <w:rPr>
          <w:rStyle w:val="Hyperlink"/>
          <w:bCs/>
          <w:color w:val="auto"/>
          <w:u w:val="none"/>
        </w:rPr>
        <w:t>Notice</w:t>
      </w:r>
      <w:r w:rsidRPr="006872A5">
        <w:rPr>
          <w:rStyle w:val="Hyperlink"/>
          <w:color w:val="auto"/>
          <w:u w:val="none"/>
        </w:rPr>
        <w:t xml:space="preserve">, 18 FCC Rcd 1565 (MB/WTB </w:t>
      </w:r>
      <w:r w:rsidRPr="006872A5">
        <w:rPr>
          <w:rStyle w:val="Hyperlink"/>
          <w:bCs/>
          <w:color w:val="auto"/>
          <w:u w:val="none"/>
        </w:rPr>
        <w:t>2003</w:t>
      </w:r>
      <w:r w:rsidRPr="006872A5">
        <w:rPr>
          <w:rStyle w:val="Hyperlink"/>
          <w:color w:val="auto"/>
          <w:u w:val="none"/>
        </w:rPr>
        <w:t>)</w:t>
      </w:r>
      <w:r w:rsidRPr="006872A5">
        <w:fldChar w:fldCharType="end"/>
      </w:r>
      <w:r w:rsidRPr="006872A5">
        <w:t xml:space="preserve">.  The filing window was subsequently extended to March 17, 2003.  </w:t>
      </w:r>
      <w:bookmarkStart w:id="3" w:name="SR;1143"/>
      <w:bookmarkEnd w:id="3"/>
      <w:r w:rsidRPr="006872A5">
        <w:fldChar w:fldCharType="begin"/>
      </w:r>
      <w:r w:rsidR="00ED0483">
        <w:instrText>HYPERLINK "http://web2.westlaw.com/find/default.wl?mt=Westlaw&amp;db=0004493&amp;tc=-1&amp;rp=%2ffind%2fdefault.wl&amp;findtype=Y&amp;ordoc=2030146671&amp;serialnum=2003197721&amp;vr=2.0&amp;fn=_top&amp;sv=Split&amp;tf=-1&amp;pbc=33133162&amp;rs=WLW13.01" \t "_top"</w:instrText>
      </w:r>
      <w:r w:rsidRPr="006872A5">
        <w:fldChar w:fldCharType="separate"/>
      </w:r>
      <w:r w:rsidRPr="006872A5">
        <w:rPr>
          <w:rStyle w:val="Hyperlink"/>
          <w:bCs/>
          <w:i/>
          <w:iCs/>
          <w:color w:val="auto"/>
          <w:u w:val="none"/>
        </w:rPr>
        <w:t>FM</w:t>
      </w:r>
      <w:r w:rsidRPr="006872A5">
        <w:rPr>
          <w:rStyle w:val="Hyperlink"/>
          <w:i/>
          <w:iCs/>
          <w:color w:val="auto"/>
          <w:u w:val="none"/>
        </w:rPr>
        <w:t xml:space="preserve"> </w:t>
      </w:r>
      <w:r w:rsidRPr="006872A5">
        <w:rPr>
          <w:rStyle w:val="Hyperlink"/>
          <w:bCs/>
          <w:i/>
          <w:iCs/>
          <w:color w:val="auto"/>
          <w:u w:val="none"/>
        </w:rPr>
        <w:t>Translator</w:t>
      </w:r>
      <w:r w:rsidRPr="006872A5">
        <w:rPr>
          <w:rStyle w:val="Hyperlink"/>
          <w:i/>
          <w:iCs/>
          <w:color w:val="auto"/>
          <w:u w:val="none"/>
        </w:rPr>
        <w:t xml:space="preserve"> Auction </w:t>
      </w:r>
      <w:r w:rsidRPr="006872A5">
        <w:rPr>
          <w:rStyle w:val="Hyperlink"/>
          <w:bCs/>
          <w:i/>
          <w:iCs/>
          <w:color w:val="auto"/>
          <w:u w:val="none"/>
        </w:rPr>
        <w:t>Filing</w:t>
      </w:r>
      <w:r w:rsidRPr="006872A5">
        <w:rPr>
          <w:rStyle w:val="Hyperlink"/>
          <w:i/>
          <w:iCs/>
          <w:color w:val="auto"/>
          <w:u w:val="none"/>
        </w:rPr>
        <w:t xml:space="preserve"> Window and Application Freeze Extended to March 17, </w:t>
      </w:r>
      <w:r w:rsidRPr="006872A5">
        <w:rPr>
          <w:rStyle w:val="Hyperlink"/>
          <w:bCs/>
          <w:i/>
          <w:iCs/>
          <w:color w:val="auto"/>
          <w:u w:val="none"/>
        </w:rPr>
        <w:t>2003</w:t>
      </w:r>
      <w:r w:rsidRPr="006872A5">
        <w:rPr>
          <w:rStyle w:val="Hyperlink"/>
          <w:color w:val="auto"/>
          <w:u w:val="none"/>
        </w:rPr>
        <w:t xml:space="preserve">, </w:t>
      </w:r>
      <w:r w:rsidRPr="006872A5">
        <w:rPr>
          <w:rStyle w:val="Hyperlink"/>
          <w:bCs/>
          <w:color w:val="auto"/>
          <w:u w:val="none"/>
        </w:rPr>
        <w:t>Public</w:t>
      </w:r>
      <w:r w:rsidRPr="006872A5">
        <w:rPr>
          <w:rStyle w:val="Hyperlink"/>
          <w:color w:val="auto"/>
          <w:u w:val="none"/>
        </w:rPr>
        <w:t xml:space="preserve"> </w:t>
      </w:r>
      <w:r w:rsidRPr="006872A5">
        <w:rPr>
          <w:rStyle w:val="Hyperlink"/>
          <w:bCs/>
          <w:color w:val="auto"/>
          <w:u w:val="none"/>
        </w:rPr>
        <w:t>Notice</w:t>
      </w:r>
      <w:r w:rsidRPr="006872A5">
        <w:rPr>
          <w:rStyle w:val="Hyperlink"/>
          <w:color w:val="auto"/>
          <w:u w:val="none"/>
        </w:rPr>
        <w:t xml:space="preserve">, 18 FCC Rcd 3275 (MB/WTB </w:t>
      </w:r>
      <w:r w:rsidRPr="006872A5">
        <w:rPr>
          <w:rStyle w:val="Hyperlink"/>
          <w:bCs/>
          <w:color w:val="auto"/>
          <w:u w:val="none"/>
        </w:rPr>
        <w:t>2003</w:t>
      </w:r>
      <w:r w:rsidRPr="006872A5">
        <w:rPr>
          <w:rStyle w:val="Hyperlink"/>
          <w:color w:val="auto"/>
          <w:u w:val="none"/>
        </w:rPr>
        <w:t>)</w:t>
      </w:r>
      <w:r w:rsidRPr="006872A5">
        <w:fldChar w:fldCharType="end"/>
      </w:r>
      <w:r w:rsidRPr="006872A5">
        <w:t>.</w:t>
      </w:r>
      <w:bookmarkStart w:id="4" w:name="SR;1167"/>
      <w:bookmarkEnd w:id="4"/>
    </w:p>
  </w:footnote>
  <w:footnote w:id="5">
    <w:p w:rsidR="00F27ACF" w:rsidRDefault="00F27ACF" w:rsidP="009E471C">
      <w:pPr>
        <w:pStyle w:val="FootnoteText"/>
        <w:spacing w:after="120"/>
      </w:pPr>
      <w:r>
        <w:rPr>
          <w:rStyle w:val="FootnoteReference"/>
        </w:rPr>
        <w:footnoteRef/>
      </w:r>
      <w:r>
        <w:t xml:space="preserve"> </w:t>
      </w:r>
      <w:r>
        <w:rPr>
          <w:i/>
        </w:rPr>
        <w:t xml:space="preserve">See Media Bureau Announces FM Translator Auction 83 Filing Window and Filing Procedures, </w:t>
      </w:r>
      <w:r>
        <w:t>Public Notice, 28 FCC Rcd 1500, 1510 at Appendix A (MB 2013) (“</w:t>
      </w:r>
      <w:r w:rsidRPr="004561CE">
        <w:rPr>
          <w:i/>
        </w:rPr>
        <w:t>Filing Window PN</w:t>
      </w:r>
      <w:r>
        <w:t xml:space="preserve">”).  </w:t>
      </w:r>
    </w:p>
  </w:footnote>
  <w:footnote w:id="6">
    <w:p w:rsidR="00F812FD" w:rsidRPr="006872A5" w:rsidRDefault="00F812FD" w:rsidP="009E471C">
      <w:pPr>
        <w:pStyle w:val="FootnoteText"/>
        <w:spacing w:after="120"/>
      </w:pPr>
      <w:r w:rsidRPr="006872A5">
        <w:rPr>
          <w:rStyle w:val="FootnoteReference"/>
        </w:rPr>
        <w:footnoteRef/>
      </w:r>
      <w:r w:rsidR="00513353" w:rsidRPr="006872A5">
        <w:t xml:space="preserve"> </w:t>
      </w:r>
      <w:hyperlink r:id="rId1" w:tgtFrame="_top" w:history="1">
        <w:r w:rsidRPr="006872A5">
          <w:rPr>
            <w:rStyle w:val="Hyperlink"/>
            <w:i/>
            <w:iCs/>
            <w:color w:val="auto"/>
            <w:u w:val="none"/>
          </w:rPr>
          <w:t>Creation of a Low Power Radio Service and Amendment of Service and Eligibility Rules for FM Broadcast Translator Stations</w:t>
        </w:r>
        <w:r w:rsidRPr="006872A5">
          <w:rPr>
            <w:rStyle w:val="Hyperlink"/>
            <w:color w:val="auto"/>
            <w:u w:val="none"/>
          </w:rPr>
          <w:t>, Fourth Report and Order and Third Order on Reconsideration, 27 FCC Rcd 3364 (2012)</w:t>
        </w:r>
      </w:hyperlink>
      <w:r w:rsidRPr="006872A5">
        <w:t xml:space="preserve"> (“</w:t>
      </w:r>
      <w:r w:rsidRPr="006872A5">
        <w:rPr>
          <w:i/>
          <w:iCs/>
        </w:rPr>
        <w:t>Fourth Report and Order</w:t>
      </w:r>
      <w:r w:rsidRPr="006872A5">
        <w:t>”).</w:t>
      </w:r>
    </w:p>
  </w:footnote>
  <w:footnote w:id="7">
    <w:p w:rsidR="005B4A5C" w:rsidRPr="006872A5" w:rsidRDefault="005B4A5C" w:rsidP="005B4A5C">
      <w:pPr>
        <w:pStyle w:val="FootnoteText"/>
        <w:spacing w:after="120"/>
      </w:pPr>
      <w:r w:rsidRPr="006872A5">
        <w:rPr>
          <w:rStyle w:val="FootnoteReference"/>
        </w:rPr>
        <w:footnoteRef/>
      </w:r>
      <w:r w:rsidRPr="006872A5">
        <w:t xml:space="preserve"> </w:t>
      </w:r>
      <w:hyperlink r:id="rId2" w:tgtFrame="_top" w:history="1">
        <w:r w:rsidRPr="006872A5">
          <w:rPr>
            <w:rStyle w:val="Hyperlink"/>
            <w:color w:val="auto"/>
            <w:u w:val="none"/>
          </w:rPr>
          <w:t>Pub. L. No. 111-371, 124 Stat. 4072 (2011).</w:t>
        </w:r>
      </w:hyperlink>
    </w:p>
  </w:footnote>
  <w:footnote w:id="8">
    <w:p w:rsidR="008C37D9" w:rsidRPr="008C37D9" w:rsidRDefault="008C37D9" w:rsidP="009E471C">
      <w:pPr>
        <w:pStyle w:val="FootnoteText"/>
        <w:spacing w:after="120"/>
      </w:pPr>
      <w:r w:rsidRPr="008C37D9">
        <w:rPr>
          <w:rStyle w:val="FootnoteReference"/>
        </w:rPr>
        <w:footnoteRef/>
      </w:r>
      <w:r w:rsidRPr="008C37D9">
        <w:t xml:space="preserve"> </w:t>
      </w:r>
      <w:r w:rsidRPr="008C37D9">
        <w:rPr>
          <w:i/>
          <w:iCs/>
        </w:rPr>
        <w:t xml:space="preserve">See </w:t>
      </w:r>
      <w:hyperlink r:id="rId3" w:tgtFrame="_top" w:history="1">
        <w:r w:rsidRPr="008C37D9">
          <w:rPr>
            <w:rStyle w:val="Hyperlink"/>
            <w:i/>
            <w:iCs/>
            <w:color w:val="auto"/>
            <w:u w:val="none"/>
          </w:rPr>
          <w:t>Fourth Report and Order</w:t>
        </w:r>
        <w:r w:rsidRPr="008C37D9">
          <w:rPr>
            <w:rStyle w:val="Hyperlink"/>
            <w:color w:val="auto"/>
            <w:u w:val="none"/>
          </w:rPr>
          <w:t>, 27 FCC Rcd at 3385-86</w:t>
        </w:r>
      </w:hyperlink>
      <w:r w:rsidRPr="008C37D9">
        <w:t>.</w:t>
      </w:r>
    </w:p>
  </w:footnote>
  <w:footnote w:id="9">
    <w:p w:rsidR="00F55422" w:rsidRPr="00B3189E" w:rsidRDefault="00F55422" w:rsidP="009E471C">
      <w:pPr>
        <w:pStyle w:val="FootnoteText"/>
        <w:spacing w:after="120"/>
      </w:pPr>
      <w:r>
        <w:rPr>
          <w:rStyle w:val="FootnoteReference"/>
        </w:rPr>
        <w:footnoteRef/>
      </w:r>
      <w:r>
        <w:t xml:space="preserve"> </w:t>
      </w:r>
      <w:r>
        <w:rPr>
          <w:i/>
        </w:rPr>
        <w:t>See</w:t>
      </w:r>
      <w:r w:rsidR="00B3189E">
        <w:rPr>
          <w:i/>
        </w:rPr>
        <w:t xml:space="preserve"> </w:t>
      </w:r>
      <w:r w:rsidR="00D105F0">
        <w:rPr>
          <w:i/>
        </w:rPr>
        <w:t xml:space="preserve">Filing Window PN, </w:t>
      </w:r>
      <w:r w:rsidR="00B3189E">
        <w:t xml:space="preserve">28 FCC Rcd </w:t>
      </w:r>
      <w:r w:rsidR="00D105F0">
        <w:t>at</w:t>
      </w:r>
      <w:r w:rsidR="00B3189E">
        <w:t xml:space="preserve"> 1501</w:t>
      </w:r>
      <w:r w:rsidR="00D105F0">
        <w:t>.</w:t>
      </w:r>
      <w:r w:rsidR="00B3189E">
        <w:t xml:space="preserve">  </w:t>
      </w:r>
      <w:r w:rsidR="00B3189E" w:rsidRPr="00B3189E">
        <w:t>The term “Market Grid” is the 30x30 or 20x20 minute grid specified in Appendices A and B for each studied market.</w:t>
      </w:r>
      <w:r w:rsidR="00B3189E">
        <w:t xml:space="preserve">  </w:t>
      </w:r>
      <w:r w:rsidR="00B3189E" w:rsidRPr="00B3189E">
        <w:rPr>
          <w:i/>
          <w:iCs/>
        </w:rPr>
        <w:t xml:space="preserve">See </w:t>
      </w:r>
      <w:hyperlink r:id="rId4" w:tgtFrame="_top" w:history="1">
        <w:r w:rsidR="00B3189E" w:rsidRPr="00B3189E">
          <w:rPr>
            <w:rStyle w:val="Hyperlink"/>
            <w:i/>
            <w:iCs/>
            <w:color w:val="auto"/>
            <w:u w:val="none"/>
          </w:rPr>
          <w:t>Fourth Report and Order</w:t>
        </w:r>
        <w:r w:rsidR="00B3189E" w:rsidRPr="00B3189E">
          <w:rPr>
            <w:rStyle w:val="Hyperlink"/>
            <w:i/>
            <w:color w:val="auto"/>
            <w:u w:val="none"/>
          </w:rPr>
          <w:t xml:space="preserve">, </w:t>
        </w:r>
        <w:r w:rsidR="00B3189E" w:rsidRPr="00B3189E">
          <w:rPr>
            <w:rStyle w:val="Hyperlink"/>
            <w:color w:val="auto"/>
            <w:u w:val="none"/>
          </w:rPr>
          <w:t>27 FCC Rcd at 3398-340</w:t>
        </w:r>
      </w:hyperlink>
      <w:r w:rsidR="00B3189E">
        <w:t>6</w:t>
      </w:r>
      <w:r w:rsidR="00060E2A">
        <w:t xml:space="preserve">.  </w:t>
      </w:r>
      <w:r w:rsidR="00DB66C3">
        <w:t>T</w:t>
      </w:r>
      <w:r w:rsidR="00B3189E">
        <w:t>he Denton Application</w:t>
      </w:r>
      <w:r w:rsidR="00060E2A">
        <w:t>s</w:t>
      </w:r>
      <w:r w:rsidR="00B3189E">
        <w:t xml:space="preserve"> </w:t>
      </w:r>
      <w:r w:rsidR="00060E2A">
        <w:t>are</w:t>
      </w:r>
      <w:r w:rsidR="00B3189E">
        <w:t xml:space="preserve"> 32 kilometers </w:t>
      </w:r>
      <w:r w:rsidR="00CE7582">
        <w:t>from</w:t>
      </w:r>
      <w:r w:rsidR="00B3189E">
        <w:t xml:space="preserve"> the nearest grid point</w:t>
      </w:r>
      <w:r w:rsidR="004B06AF">
        <w:t xml:space="preserve"> of the Ocean City/Salisbury buffer zone</w:t>
      </w:r>
      <w:r w:rsidR="00DB66C3">
        <w:t>.</w:t>
      </w:r>
      <w:r w:rsidR="00B3189E">
        <w:t xml:space="preserve"> </w:t>
      </w:r>
    </w:p>
  </w:footnote>
  <w:footnote w:id="10">
    <w:p w:rsidR="002F7753" w:rsidRPr="006B21BD" w:rsidRDefault="002F7753" w:rsidP="009E471C">
      <w:pPr>
        <w:pStyle w:val="FootnoteText"/>
        <w:spacing w:after="120"/>
      </w:pPr>
      <w:r>
        <w:rPr>
          <w:rStyle w:val="FootnoteReference"/>
        </w:rPr>
        <w:footnoteRef/>
      </w:r>
      <w:r>
        <w:t xml:space="preserve"> </w:t>
      </w:r>
      <w:r>
        <w:rPr>
          <w:i/>
        </w:rPr>
        <w:t xml:space="preserve">See Media Bureau Provides Additional Guidance on Preclusion Showing Filing Requirements for Auction 83 FM Translator Applicants, </w:t>
      </w:r>
      <w:r>
        <w:t>Public Notice, 28 FCC Rcd 2840 (MB 2013)</w:t>
      </w:r>
      <w:r w:rsidR="00344C1E">
        <w:t xml:space="preserve"> (“</w:t>
      </w:r>
      <w:r w:rsidR="00344C1E" w:rsidRPr="00344C1E">
        <w:rPr>
          <w:i/>
        </w:rPr>
        <w:t>Guidance PN</w:t>
      </w:r>
      <w:r w:rsidR="00344C1E">
        <w:t>”)</w:t>
      </w:r>
      <w:r w:rsidR="004B06AF">
        <w:t xml:space="preserve"> (“A Preclusion Showing is required . . . [i]f an applicant has filed a Technical Amendment  . . . [and] the proposal is within 39 km of a Spectrum Available Market Grid</w:t>
      </w:r>
      <w:r w:rsidR="005675B8">
        <w:t xml:space="preserve"> </w:t>
      </w:r>
      <w:r w:rsidR="004B06AF">
        <w:t xml:space="preserve">. . . .”).  </w:t>
      </w:r>
    </w:p>
  </w:footnote>
  <w:footnote w:id="11">
    <w:p w:rsidR="00892100" w:rsidRPr="006872A5" w:rsidRDefault="00892100" w:rsidP="008C37D9">
      <w:pPr>
        <w:pStyle w:val="FootnoteText"/>
        <w:spacing w:after="120"/>
      </w:pPr>
      <w:r w:rsidRPr="006872A5">
        <w:rPr>
          <w:rStyle w:val="FootnoteReference"/>
        </w:rPr>
        <w:footnoteRef/>
      </w:r>
      <w:r w:rsidRPr="006872A5">
        <w:t xml:space="preserve"> </w:t>
      </w:r>
      <w:r w:rsidR="00F14855">
        <w:t>Petition</w:t>
      </w:r>
      <w:r w:rsidR="00A3377C">
        <w:t>s</w:t>
      </w:r>
      <w:r w:rsidR="00F14855">
        <w:t xml:space="preserve"> </w:t>
      </w:r>
      <w:r w:rsidRPr="006872A5">
        <w:t xml:space="preserve">at </w:t>
      </w:r>
      <w:r w:rsidR="00F14855">
        <w:t>2</w:t>
      </w:r>
      <w:r w:rsidRPr="006872A5">
        <w:t>.</w:t>
      </w:r>
    </w:p>
  </w:footnote>
  <w:footnote w:id="12">
    <w:p w:rsidR="000B3F09" w:rsidRPr="00774E4D" w:rsidRDefault="000B3F09">
      <w:pPr>
        <w:pStyle w:val="FootnoteText"/>
        <w:rPr>
          <w:i/>
        </w:rPr>
      </w:pPr>
      <w:r>
        <w:rPr>
          <w:rStyle w:val="FootnoteReference"/>
        </w:rPr>
        <w:footnoteRef/>
      </w:r>
      <w:r>
        <w:t xml:space="preserve"> </w:t>
      </w:r>
      <w:r>
        <w:rPr>
          <w:i/>
        </w:rPr>
        <w:t>Id.</w:t>
      </w:r>
    </w:p>
  </w:footnote>
  <w:footnote w:id="13">
    <w:p w:rsidR="001A19CF" w:rsidRPr="006872A5" w:rsidRDefault="00472E0E" w:rsidP="00DC4840">
      <w:pPr>
        <w:pStyle w:val="FootnoteText"/>
        <w:spacing w:after="120"/>
        <w:rPr>
          <w:b/>
        </w:rPr>
      </w:pPr>
      <w:r w:rsidRPr="006872A5">
        <w:rPr>
          <w:rStyle w:val="FootnoteReference"/>
        </w:rPr>
        <w:footnoteRef/>
      </w:r>
      <w:r w:rsidRPr="006872A5">
        <w:rPr>
          <w:i/>
        </w:rPr>
        <w:t xml:space="preserve"> </w:t>
      </w:r>
      <w:r w:rsidR="00A3377C">
        <w:t xml:space="preserve">Petition at </w:t>
      </w:r>
      <w:r w:rsidR="00D16B9C">
        <w:t xml:space="preserve">2-3.  We note that this argument is made only in the Petition seeking reinstatement of  File No. BNPFT-201300325ABK. </w:t>
      </w:r>
      <w:r w:rsidR="00EC6668">
        <w:t xml:space="preserve">  </w:t>
      </w:r>
      <w:r w:rsidR="00BB64A0" w:rsidRPr="006872A5">
        <w:t xml:space="preserve">  </w:t>
      </w:r>
      <w:r w:rsidR="00DC15B2" w:rsidRPr="006872A5">
        <w:rPr>
          <w:i/>
        </w:rPr>
        <w:t xml:space="preserve">  </w:t>
      </w:r>
    </w:p>
  </w:footnote>
  <w:footnote w:id="14">
    <w:p w:rsidR="00D16B9C" w:rsidRPr="006872A5" w:rsidRDefault="00D16B9C" w:rsidP="00DC4840">
      <w:pPr>
        <w:pStyle w:val="FootnoteText"/>
        <w:spacing w:after="120"/>
        <w:rPr>
          <w:b/>
        </w:rPr>
      </w:pPr>
      <w:r w:rsidRPr="006872A5">
        <w:rPr>
          <w:rStyle w:val="FootnoteReference"/>
        </w:rPr>
        <w:footnoteRef/>
      </w:r>
      <w:r w:rsidRPr="006872A5">
        <w:rPr>
          <w:i/>
        </w:rPr>
        <w:t xml:space="preserve"> </w:t>
      </w:r>
      <w:r>
        <w:t>Petition</w:t>
      </w:r>
      <w:r w:rsidR="00A3377C">
        <w:t>s</w:t>
      </w:r>
      <w:r>
        <w:t xml:space="preserve"> at 3.  </w:t>
      </w:r>
      <w:r w:rsidRPr="006872A5">
        <w:t xml:space="preserve">  </w:t>
      </w:r>
      <w:r w:rsidRPr="006872A5">
        <w:rPr>
          <w:i/>
        </w:rPr>
        <w:t xml:space="preserve">  </w:t>
      </w:r>
    </w:p>
  </w:footnote>
  <w:footnote w:id="15">
    <w:p w:rsidR="00E67619" w:rsidRPr="00E67619" w:rsidRDefault="00E67619" w:rsidP="00DC4840">
      <w:pPr>
        <w:pStyle w:val="FootnoteText"/>
        <w:spacing w:after="120"/>
      </w:pPr>
      <w:r w:rsidRPr="00E67619">
        <w:rPr>
          <w:rStyle w:val="FootnoteReference"/>
        </w:rPr>
        <w:footnoteRef/>
      </w:r>
      <w:r w:rsidRPr="00E67619">
        <w:t xml:space="preserve"> </w:t>
      </w:r>
      <w:r w:rsidRPr="00E67619">
        <w:rPr>
          <w:i/>
          <w:iCs/>
        </w:rPr>
        <w:t>See</w:t>
      </w:r>
      <w:r w:rsidRPr="00E67619">
        <w:t xml:space="preserve"> </w:t>
      </w:r>
      <w:hyperlink r:id="rId5" w:tgtFrame="_top" w:history="1">
        <w:r w:rsidRPr="00E67619">
          <w:rPr>
            <w:rStyle w:val="Hyperlink"/>
            <w:color w:val="auto"/>
            <w:u w:val="none"/>
          </w:rPr>
          <w:t>47 C.F.R § 1.106(c)</w:t>
        </w:r>
      </w:hyperlink>
      <w:r w:rsidRPr="00E67619">
        <w:t>,</w:t>
      </w:r>
      <w:hyperlink r:id="rId6" w:tgtFrame="_top" w:history="1">
        <w:r w:rsidRPr="00E67619">
          <w:rPr>
            <w:rStyle w:val="Hyperlink"/>
            <w:color w:val="auto"/>
            <w:u w:val="none"/>
          </w:rPr>
          <w:t>(d)</w:t>
        </w:r>
      </w:hyperlink>
      <w:r w:rsidRPr="00E67619">
        <w:t xml:space="preserve">. </w:t>
      </w:r>
      <w:r w:rsidRPr="00E67619">
        <w:rPr>
          <w:i/>
          <w:iCs/>
        </w:rPr>
        <w:t>See also WWIZ, Inc.</w:t>
      </w:r>
      <w:r w:rsidRPr="00E67619">
        <w:t xml:space="preserve">, Memorandum Opinion and Order, </w:t>
      </w:r>
      <w:hyperlink r:id="rId7" w:tgtFrame="_top" w:history="1">
        <w:r w:rsidRPr="00E67619">
          <w:rPr>
            <w:rStyle w:val="Hyperlink"/>
            <w:color w:val="auto"/>
            <w:u w:val="none"/>
          </w:rPr>
          <w:t>37 FCC 685, 686 (1964)</w:t>
        </w:r>
      </w:hyperlink>
      <w:r w:rsidRPr="00E67619">
        <w:t xml:space="preserve">, </w:t>
      </w:r>
      <w:r w:rsidRPr="00E67619">
        <w:rPr>
          <w:i/>
          <w:iCs/>
        </w:rPr>
        <w:t xml:space="preserve">aff'd sub nom. </w:t>
      </w:r>
      <w:hyperlink r:id="rId8" w:tgtFrame="_top" w:history="1">
        <w:r w:rsidRPr="00E67619">
          <w:rPr>
            <w:rStyle w:val="Hyperlink"/>
            <w:i/>
            <w:iCs/>
            <w:color w:val="auto"/>
            <w:u w:val="none"/>
          </w:rPr>
          <w:t>Lorain Journal Co. v. FCC</w:t>
        </w:r>
        <w:r w:rsidRPr="00E67619">
          <w:rPr>
            <w:rStyle w:val="Hyperlink"/>
            <w:color w:val="auto"/>
            <w:u w:val="none"/>
          </w:rPr>
          <w:t>, 351 F.2d 824 (D.C. Cir. 1965)</w:t>
        </w:r>
      </w:hyperlink>
      <w:r w:rsidRPr="00E67619">
        <w:t xml:space="preserve">, </w:t>
      </w:r>
      <w:r w:rsidRPr="00E67619">
        <w:rPr>
          <w:i/>
          <w:iCs/>
        </w:rPr>
        <w:t>cert. denied</w:t>
      </w:r>
      <w:r w:rsidRPr="00E67619">
        <w:t>, 387 U.S. 967 (1966).</w:t>
      </w:r>
    </w:p>
  </w:footnote>
  <w:footnote w:id="16">
    <w:p w:rsidR="006059AF" w:rsidRDefault="006059AF" w:rsidP="00DC4840">
      <w:pPr>
        <w:pStyle w:val="FootnoteText"/>
        <w:spacing w:after="120"/>
      </w:pPr>
      <w:r>
        <w:rPr>
          <w:rStyle w:val="FootnoteReference"/>
        </w:rPr>
        <w:footnoteRef/>
      </w:r>
      <w:r>
        <w:t xml:space="preserve"> </w:t>
      </w:r>
      <w:r w:rsidRPr="006059AF">
        <w:rPr>
          <w:i/>
        </w:rPr>
        <w:t xml:space="preserve">See </w:t>
      </w:r>
      <w:r>
        <w:rPr>
          <w:i/>
        </w:rPr>
        <w:t xml:space="preserve">Fourth Report and Order, </w:t>
      </w:r>
      <w:r>
        <w:t xml:space="preserve">27 FCC Rcd </w:t>
      </w:r>
      <w:r w:rsidRPr="006059AF">
        <w:t>at 3385-86</w:t>
      </w:r>
      <w:r w:rsidR="00E53D86">
        <w:t xml:space="preserve">; </w:t>
      </w:r>
      <w:r w:rsidR="00E53D86">
        <w:rPr>
          <w:i/>
        </w:rPr>
        <w:t>s</w:t>
      </w:r>
      <w:r w:rsidR="00E53D86" w:rsidRPr="00E53D86">
        <w:rPr>
          <w:i/>
        </w:rPr>
        <w:t xml:space="preserve">ee </w:t>
      </w:r>
      <w:r w:rsidR="00E53D86">
        <w:rPr>
          <w:i/>
        </w:rPr>
        <w:t xml:space="preserve">also </w:t>
      </w:r>
      <w:r w:rsidR="00F0595B">
        <w:rPr>
          <w:i/>
        </w:rPr>
        <w:t>Guidance</w:t>
      </w:r>
      <w:r w:rsidR="00E53D86" w:rsidRPr="00E53D86">
        <w:rPr>
          <w:i/>
        </w:rPr>
        <w:t xml:space="preserve"> PN, </w:t>
      </w:r>
      <w:r w:rsidR="00E53D86" w:rsidRPr="00E53D86">
        <w:t>28 FCC Rcd at 2841</w:t>
      </w:r>
      <w:r w:rsidR="00E53D86">
        <w:t>.</w:t>
      </w:r>
    </w:p>
  </w:footnote>
  <w:footnote w:id="17">
    <w:p w:rsidR="00E53D86" w:rsidRDefault="00E53D86" w:rsidP="00DC4840">
      <w:pPr>
        <w:pStyle w:val="FootnoteText"/>
        <w:spacing w:after="120"/>
      </w:pPr>
      <w:r>
        <w:rPr>
          <w:rStyle w:val="FootnoteReference"/>
        </w:rPr>
        <w:footnoteRef/>
      </w:r>
      <w:r>
        <w:t xml:space="preserve"> </w:t>
      </w:r>
      <w:r w:rsidRPr="00E53D86">
        <w:rPr>
          <w:i/>
        </w:rPr>
        <w:t>Id.</w:t>
      </w:r>
    </w:p>
  </w:footnote>
  <w:footnote w:id="18">
    <w:p w:rsidR="00DC099B" w:rsidRDefault="00DC099B" w:rsidP="00DC4840">
      <w:pPr>
        <w:pStyle w:val="FootnoteText"/>
        <w:spacing w:after="120"/>
      </w:pPr>
      <w:r>
        <w:rPr>
          <w:rStyle w:val="FootnoteReference"/>
        </w:rPr>
        <w:footnoteRef/>
      </w:r>
      <w:r>
        <w:rPr>
          <w:i/>
        </w:rPr>
        <w:t xml:space="preserve"> See Filing Window PN, </w:t>
      </w:r>
      <w:r>
        <w:t xml:space="preserve">28 FCC Rcd at 1502. </w:t>
      </w:r>
    </w:p>
  </w:footnote>
  <w:footnote w:id="19">
    <w:p w:rsidR="00DC4840" w:rsidRDefault="00DC4840" w:rsidP="00DC4840">
      <w:pPr>
        <w:pStyle w:val="FootnoteText"/>
        <w:spacing w:after="120"/>
      </w:pPr>
      <w:r>
        <w:rPr>
          <w:rStyle w:val="FootnoteReference"/>
        </w:rPr>
        <w:footnoteRef/>
      </w:r>
      <w:r>
        <w:t xml:space="preserve"> </w:t>
      </w:r>
      <w:r>
        <w:rPr>
          <w:i/>
        </w:rPr>
        <w:t xml:space="preserve">See Community Religious Broadcasting, Inc., </w:t>
      </w:r>
      <w:r>
        <w:t>Letter, 23 FCC Rcd 15363, 15364 (MB 2008) (</w:t>
      </w:r>
      <w:r w:rsidRPr="00DC4840">
        <w:t xml:space="preserve">incumbent upon </w:t>
      </w:r>
      <w:r>
        <w:t>applicants</w:t>
      </w:r>
      <w:r w:rsidRPr="00DC4840">
        <w:t xml:space="preserve"> to monitor </w:t>
      </w:r>
      <w:bookmarkStart w:id="10" w:name="SR;620"/>
      <w:bookmarkStart w:id="11" w:name="SearchTerm"/>
      <w:bookmarkEnd w:id="10"/>
      <w:r>
        <w:t>Public Notices</w:t>
      </w:r>
      <w:bookmarkStart w:id="12" w:name="SR;621"/>
      <w:bookmarkEnd w:id="12"/>
      <w:r>
        <w:t xml:space="preserve"> </w:t>
      </w:r>
      <w:r w:rsidRPr="00DC4840">
        <w:t xml:space="preserve">and </w:t>
      </w:r>
      <w:bookmarkStart w:id="13" w:name="SR;635"/>
      <w:bookmarkEnd w:id="13"/>
      <w:r>
        <w:t>adhere</w:t>
      </w:r>
      <w:r w:rsidRPr="00DC4840">
        <w:t xml:space="preserve"> to </w:t>
      </w:r>
      <w:r w:rsidR="00122E36">
        <w:t>their</w:t>
      </w:r>
      <w:bookmarkStart w:id="14" w:name="SR;638"/>
      <w:bookmarkEnd w:id="11"/>
      <w:bookmarkEnd w:id="14"/>
      <w:r>
        <w:t xml:space="preserve"> requirements)</w:t>
      </w:r>
      <w:r w:rsidR="00924E5E">
        <w:t xml:space="preserve">, citing </w:t>
      </w:r>
      <w:r w:rsidR="00924E5E">
        <w:rPr>
          <w:i/>
          <w:snapToGrid w:val="0"/>
        </w:rPr>
        <w:t xml:space="preserve">Comparative Consideration of 76 Groups of Mutually Exclusive Applications for Permits to Construct New or Modified Noncommercial Educational FM Stations, </w:t>
      </w:r>
      <w:r w:rsidR="00924E5E">
        <w:rPr>
          <w:snapToGrid w:val="0"/>
        </w:rPr>
        <w:t>Memorandum Opinion and Order, 22 FCC Rcd 6101 (2007) (applicant’s failure to file a point supplement by the deadline because it had not monitored Commission public notices is not an excuse for late-filing)</w:t>
      </w:r>
      <w:r>
        <w:t>.</w:t>
      </w:r>
      <w:r>
        <w:rPr>
          <w:i/>
        </w:rPr>
        <w:t xml:space="preserve">  </w:t>
      </w:r>
      <w:r>
        <w:t xml:space="preserve"> </w:t>
      </w:r>
    </w:p>
  </w:footnote>
  <w:footnote w:id="20">
    <w:p w:rsidR="004229E6" w:rsidRDefault="004229E6" w:rsidP="00DC4840">
      <w:pPr>
        <w:pStyle w:val="FootnoteText"/>
        <w:spacing w:after="120"/>
      </w:pPr>
      <w:r>
        <w:rPr>
          <w:rStyle w:val="FootnoteReference"/>
        </w:rPr>
        <w:footnoteRef/>
      </w:r>
      <w:r>
        <w:t xml:space="preserve"> Petition</w:t>
      </w:r>
      <w:r w:rsidR="00AC0529">
        <w:t>s</w:t>
      </w:r>
      <w:r>
        <w:t xml:space="preserve"> at 2.</w:t>
      </w:r>
    </w:p>
  </w:footnote>
  <w:footnote w:id="21">
    <w:p w:rsidR="00780418" w:rsidRDefault="00780418" w:rsidP="00DC4840">
      <w:pPr>
        <w:pStyle w:val="FootnoteText"/>
        <w:spacing w:after="120"/>
      </w:pPr>
      <w:r>
        <w:rPr>
          <w:rStyle w:val="FootnoteReference"/>
        </w:rPr>
        <w:footnoteRef/>
      </w:r>
      <w:r>
        <w:t xml:space="preserve"> </w:t>
      </w:r>
      <w:r>
        <w:rPr>
          <w:i/>
        </w:rPr>
        <w:t>See</w:t>
      </w:r>
      <w:r w:rsidR="000B3F09">
        <w:rPr>
          <w:i/>
        </w:rPr>
        <w:t>, e.g.,</w:t>
      </w:r>
      <w:r>
        <w:rPr>
          <w:i/>
        </w:rPr>
        <w:t xml:space="preserve"> L.T. Simes II and Raymond Simes, </w:t>
      </w:r>
      <w:r>
        <w:t>Letter, 21 FCC Rcd 1421, 1422 (MB 2006) (</w:t>
      </w:r>
      <w:r w:rsidRPr="00BA5A24">
        <w:t>burden of providing information and demonstrating qualifications by the applicable</w:t>
      </w:r>
      <w:r>
        <w:t xml:space="preserve"> </w:t>
      </w:r>
      <w:r w:rsidRPr="00BA5A24">
        <w:t xml:space="preserve">deadline falls upon the </w:t>
      </w:r>
      <w:r>
        <w:t xml:space="preserve">applicant). </w:t>
      </w:r>
    </w:p>
  </w:footnote>
  <w:footnote w:id="22">
    <w:p w:rsidR="004229E6" w:rsidRPr="000234DA" w:rsidRDefault="004229E6" w:rsidP="00DC4840">
      <w:pPr>
        <w:pStyle w:val="FootnoteText"/>
        <w:spacing w:after="120"/>
      </w:pPr>
      <w:r w:rsidRPr="000234DA">
        <w:rPr>
          <w:rStyle w:val="FootnoteReference"/>
        </w:rPr>
        <w:footnoteRef/>
      </w:r>
      <w:r w:rsidRPr="000234DA">
        <w:t xml:space="preserve"> </w:t>
      </w:r>
      <w:r w:rsidRPr="000234DA">
        <w:rPr>
          <w:i/>
        </w:rPr>
        <w:t>See Alamo Navajo School Board, Inc.,</w:t>
      </w:r>
      <w:r w:rsidRPr="000234DA">
        <w:t xml:space="preserve"> Forfeiture Order, 25 FCC Rcd 17057, 17059 (MB 2010) (rejecting argument that late-filing should be excused because licensee’s staff was “</w:t>
      </w:r>
      <w:r w:rsidRPr="000234DA">
        <w:rPr>
          <w:color w:val="000000"/>
        </w:rPr>
        <w:t>simply daunted and</w:t>
      </w:r>
      <w:bookmarkStart w:id="15" w:name="SR;915"/>
      <w:bookmarkEnd w:id="15"/>
      <w:r w:rsidRPr="000234DA">
        <w:rPr>
          <w:color w:val="000000"/>
        </w:rPr>
        <w:t xml:space="preserve"> confused by the arcane requirements</w:t>
      </w:r>
      <w:bookmarkStart w:id="16" w:name="SR;919"/>
      <w:bookmarkEnd w:id="16"/>
      <w:r w:rsidRPr="000234DA">
        <w:rPr>
          <w:color w:val="000000"/>
        </w:rPr>
        <w:t xml:space="preserve"> </w:t>
      </w:r>
      <w:r>
        <w:rPr>
          <w:color w:val="000000"/>
        </w:rPr>
        <w:t>of the [Commission’s] electronic filing system</w:t>
      </w:r>
      <w:r w:rsidRPr="000234DA">
        <w:rPr>
          <w:color w:val="000000"/>
        </w:rPr>
        <w:t>”</w:t>
      </w:r>
      <w:r>
        <w:rPr>
          <w:color w:val="000000"/>
        </w:rPr>
        <w:t>);</w:t>
      </w:r>
      <w:r w:rsidRPr="000234DA">
        <w:rPr>
          <w:i/>
        </w:rPr>
        <w:t xml:space="preserve"> </w:t>
      </w:r>
      <w:r w:rsidRPr="003F1ABE">
        <w:rPr>
          <w:i/>
          <w:iCs/>
        </w:rPr>
        <w:t>Community-First Broadcasters, Inc.</w:t>
      </w:r>
      <w:r w:rsidRPr="003F1ABE">
        <w:t xml:space="preserve">, Forfeiture Order, 23 FCC Rcd 10923, 10923-24 (MB 2008) </w:t>
      </w:r>
      <w:r w:rsidRPr="003F1ABE">
        <w:rPr>
          <w:color w:val="000000"/>
        </w:rPr>
        <w:t>(</w:t>
      </w:r>
      <w:r>
        <w:rPr>
          <w:color w:val="000000"/>
        </w:rPr>
        <w:t>same,</w:t>
      </w:r>
      <w:r w:rsidRPr="003F1ABE">
        <w:rPr>
          <w:color w:val="000000"/>
        </w:rPr>
        <w:t xml:space="preserve"> for licensee who was “</w:t>
      </w:r>
      <w:bookmarkStart w:id="17" w:name="SR;1653"/>
      <w:bookmarkEnd w:id="17"/>
      <w:r>
        <w:rPr>
          <w:color w:val="000000"/>
        </w:rPr>
        <w:t>flummoxed</w:t>
      </w:r>
      <w:r w:rsidRPr="003F1ABE">
        <w:rPr>
          <w:color w:val="000000"/>
        </w:rPr>
        <w:t>” by the Commission's electronic filing procedures)</w:t>
      </w:r>
      <w:r>
        <w:rPr>
          <w:color w:val="000000"/>
        </w:rPr>
        <w:t>.</w:t>
      </w:r>
      <w:r w:rsidR="00780418">
        <w:rPr>
          <w:color w:val="000000"/>
        </w:rPr>
        <w:t xml:space="preserve">  </w:t>
      </w:r>
      <w:r w:rsidR="00780418">
        <w:t xml:space="preserve"> </w:t>
      </w:r>
    </w:p>
  </w:footnote>
  <w:footnote w:id="23">
    <w:p w:rsidR="004229E6" w:rsidRDefault="004229E6" w:rsidP="00DC099B">
      <w:pPr>
        <w:pStyle w:val="FootnoteText"/>
        <w:spacing w:after="120"/>
      </w:pPr>
      <w:r>
        <w:rPr>
          <w:rStyle w:val="FootnoteReference"/>
        </w:rPr>
        <w:footnoteRef/>
      </w:r>
      <w:r>
        <w:t xml:space="preserve"> </w:t>
      </w:r>
      <w:r>
        <w:rPr>
          <w:i/>
        </w:rPr>
        <w:t>Filing Window P</w:t>
      </w:r>
      <w:r w:rsidRPr="009A5B59">
        <w:rPr>
          <w:i/>
        </w:rPr>
        <w:t xml:space="preserve">N, </w:t>
      </w:r>
      <w:r w:rsidRPr="009A5B59">
        <w:t>27 FCC Rcd</w:t>
      </w:r>
      <w:r w:rsidRPr="009A5B59">
        <w:rPr>
          <w:i/>
        </w:rPr>
        <w:t xml:space="preserve"> </w:t>
      </w:r>
      <w:r w:rsidRPr="009A5B59">
        <w:t>at 15</w:t>
      </w:r>
      <w:r>
        <w:t xml:space="preserve">02; </w:t>
      </w:r>
      <w:r>
        <w:rPr>
          <w:i/>
        </w:rPr>
        <w:t xml:space="preserve">see also Guidance PN, </w:t>
      </w:r>
      <w:r>
        <w:t xml:space="preserve">28 FCC Rcd at 2842. </w:t>
      </w:r>
    </w:p>
  </w:footnote>
  <w:footnote w:id="24">
    <w:p w:rsidR="009C3DE7" w:rsidRDefault="009C3DE7" w:rsidP="00BA4331">
      <w:pPr>
        <w:pStyle w:val="FootnoteText"/>
        <w:spacing w:after="120"/>
      </w:pPr>
      <w:r>
        <w:rPr>
          <w:rStyle w:val="FootnoteReference"/>
        </w:rPr>
        <w:footnoteRef/>
      </w:r>
      <w:r>
        <w:t xml:space="preserve"> </w:t>
      </w:r>
      <w:r>
        <w:rPr>
          <w:i/>
        </w:rPr>
        <w:t xml:space="preserve">See Glorious Communications Channel Broadcasting, LLC, </w:t>
      </w:r>
      <w:r>
        <w:t xml:space="preserve">Letter, 20 FCC Rcd 11887, 11888 (MB 2005) (waiver request denied where applicant, </w:t>
      </w:r>
      <w:r w:rsidR="00630CEC">
        <w:t xml:space="preserve">aware of filing deadline but </w:t>
      </w:r>
      <w:r>
        <w:t xml:space="preserve">“distracted by personal problems,” </w:t>
      </w:r>
      <w:r w:rsidR="00630CEC">
        <w:t>failed to make submission</w:t>
      </w:r>
      <w:r>
        <w:t>)</w:t>
      </w:r>
      <w:r w:rsidR="000B3F09">
        <w:t>;</w:t>
      </w:r>
      <w:r w:rsidR="000B3F09" w:rsidRPr="000B3F09">
        <w:rPr>
          <w:i/>
        </w:rPr>
        <w:t xml:space="preserve"> </w:t>
      </w:r>
      <w:r w:rsidR="00C30CCA">
        <w:rPr>
          <w:i/>
        </w:rPr>
        <w:t>s</w:t>
      </w:r>
      <w:r w:rsidR="000B3F09">
        <w:rPr>
          <w:i/>
        </w:rPr>
        <w:t xml:space="preserve">ee </w:t>
      </w:r>
      <w:r w:rsidR="00C30CCA">
        <w:rPr>
          <w:i/>
        </w:rPr>
        <w:t xml:space="preserve">also </w:t>
      </w:r>
      <w:r w:rsidR="000B3F09">
        <w:rPr>
          <w:i/>
        </w:rPr>
        <w:t xml:space="preserve">Gregg P. Skall, Esq., </w:t>
      </w:r>
      <w:r w:rsidR="000B3F09">
        <w:t>Letter, 20 FCC Rcd 11889, 11890 (MB/WTB 2005) (“</w:t>
      </w:r>
      <w:r w:rsidR="000B3F09" w:rsidRPr="008722F2">
        <w:t xml:space="preserve">The Commission's auction rules are best served by </w:t>
      </w:r>
      <w:r w:rsidR="000B3F09">
        <w:t>applying deadlines in a fair and consistent</w:t>
      </w:r>
      <w:r w:rsidR="000B3F09" w:rsidRPr="008722F2">
        <w:t xml:space="preserve"> </w:t>
      </w:r>
      <w:r w:rsidR="000B3F09">
        <w:t>manner</w:t>
      </w:r>
      <w:r w:rsidR="000B3F09" w:rsidRPr="008722F2">
        <w:t>.</w:t>
      </w:r>
      <w:r w:rsidR="000B3F09">
        <w:t xml:space="preserve">  </w:t>
      </w:r>
      <w:r w:rsidR="000B3F09" w:rsidRPr="008722F2">
        <w:t xml:space="preserve">By having an announced procedure which </w:t>
      </w:r>
      <w:r w:rsidR="000B3F09">
        <w:t>applies</w:t>
      </w:r>
      <w:r w:rsidR="000B3F09" w:rsidRPr="008722F2">
        <w:t xml:space="preserve"> uniformly, we created a predictable and </w:t>
      </w:r>
      <w:r w:rsidR="000B3F09">
        <w:t>fair</w:t>
      </w:r>
      <w:r w:rsidR="000B3F09" w:rsidRPr="008722F2">
        <w:t xml:space="preserve"> procedure for all applicants in </w:t>
      </w:r>
      <w:r w:rsidR="000B3F09">
        <w:t xml:space="preserve">[the] </w:t>
      </w:r>
      <w:r w:rsidR="000B3F09" w:rsidRPr="008722F2">
        <w:t>Auction</w:t>
      </w:r>
      <w:r w:rsidR="000B3F09">
        <w:t xml:space="preserve"> . . . .”).</w:t>
      </w:r>
      <w:r w:rsidR="000B3F09" w:rsidRPr="008722F2">
        <w:t xml:space="preserve"> </w:t>
      </w:r>
      <w:r w:rsidR="000B3F09">
        <w:t xml:space="preserve"> </w:t>
      </w:r>
      <w:r w:rsidR="000B3F09">
        <w:rPr>
          <w:i/>
        </w:rPr>
        <w:t xml:space="preserve"> </w:t>
      </w:r>
      <w:r w:rsidR="000B3F09">
        <w:t xml:space="preserve"> </w:t>
      </w:r>
      <w:r>
        <w:t xml:space="preserve">  </w:t>
      </w:r>
      <w:r>
        <w:rPr>
          <w:i/>
        </w:rPr>
        <w:t xml:space="preserve"> </w:t>
      </w:r>
      <w:r>
        <w:t xml:space="preserve"> </w:t>
      </w:r>
    </w:p>
  </w:footnote>
  <w:footnote w:id="25">
    <w:p w:rsidR="00BA4331" w:rsidRDefault="00BA4331" w:rsidP="00BA4331">
      <w:pPr>
        <w:pStyle w:val="FootnoteText"/>
        <w:spacing w:after="120"/>
      </w:pPr>
      <w:r>
        <w:rPr>
          <w:rStyle w:val="FootnoteReference"/>
        </w:rPr>
        <w:footnoteRef/>
      </w:r>
      <w:r>
        <w:t xml:space="preserve"> WKNZ(FM), Har</w:t>
      </w:r>
      <w:r w:rsidR="00C14DF9">
        <w:t>r</w:t>
      </w:r>
      <w:r w:rsidR="00DC2C6A">
        <w:t>ington, Delaware; WSCL(FM),</w:t>
      </w:r>
      <w:r>
        <w:t xml:space="preserve"> Salisbury, Maryland; WRDX(FM), Dover, Delaware; WCEI-FM, Easton, Maryland; and WTDK(FM), Federalsburg, Maryland.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71" w:rsidRDefault="00E07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71" w:rsidRDefault="00E070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DD" w:rsidRDefault="00ED0483">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38405006" r:id="rId2"/>
      </w:pict>
    </w:r>
    <w:r w:rsidR="00672DDD">
      <w:rPr>
        <w:rFonts w:ascii="CG Times (W1)" w:hAnsi="CG Times (W1)"/>
        <w:sz w:val="28"/>
      </w:rPr>
      <w:t>Federal Communications Commission</w:t>
    </w:r>
  </w:p>
  <w:p w:rsidR="00672DDD" w:rsidRDefault="00672DDD">
    <w:pPr>
      <w:jc w:val="center"/>
      <w:rPr>
        <w:rFonts w:ascii="CG Times (W1)" w:hAnsi="CG Times (W1)"/>
        <w:sz w:val="28"/>
      </w:rPr>
    </w:pPr>
    <w:r>
      <w:rPr>
        <w:rFonts w:ascii="CG Times (W1)" w:hAnsi="CG Times (W1)"/>
        <w:sz w:val="28"/>
      </w:rPr>
      <w:t>Washington, D.C. 20554</w:t>
    </w:r>
  </w:p>
  <w:p w:rsidR="00921E3F" w:rsidRDefault="00921E3F">
    <w:pPr>
      <w:jc w:val="center"/>
    </w:pPr>
  </w:p>
  <w:p w:rsidR="00672DDD" w:rsidRPr="00756425" w:rsidRDefault="001244B7">
    <w:pPr>
      <w:pStyle w:val="Header"/>
      <w:tabs>
        <w:tab w:val="clear" w:pos="4320"/>
      </w:tabs>
      <w:jc w:val="center"/>
      <w:rPr>
        <w:b/>
      </w:rPr>
    </w:pPr>
    <w:r>
      <w:rPr>
        <w:b/>
      </w:rPr>
      <w:t>August 19,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C9"/>
    <w:rsid w:val="00001CA7"/>
    <w:rsid w:val="00001CFE"/>
    <w:rsid w:val="000024C2"/>
    <w:rsid w:val="00004D22"/>
    <w:rsid w:val="00006640"/>
    <w:rsid w:val="00006FC0"/>
    <w:rsid w:val="000119BB"/>
    <w:rsid w:val="00012922"/>
    <w:rsid w:val="00013BDA"/>
    <w:rsid w:val="0001485C"/>
    <w:rsid w:val="00015E6A"/>
    <w:rsid w:val="00020223"/>
    <w:rsid w:val="0002268E"/>
    <w:rsid w:val="000234DA"/>
    <w:rsid w:val="000350E5"/>
    <w:rsid w:val="00035908"/>
    <w:rsid w:val="00037CCF"/>
    <w:rsid w:val="000401DE"/>
    <w:rsid w:val="000419D5"/>
    <w:rsid w:val="0005083C"/>
    <w:rsid w:val="0005439C"/>
    <w:rsid w:val="000551A9"/>
    <w:rsid w:val="00060E2A"/>
    <w:rsid w:val="000617AB"/>
    <w:rsid w:val="000620CC"/>
    <w:rsid w:val="00063A84"/>
    <w:rsid w:val="0006410F"/>
    <w:rsid w:val="00070C84"/>
    <w:rsid w:val="00073A4A"/>
    <w:rsid w:val="00077550"/>
    <w:rsid w:val="00086689"/>
    <w:rsid w:val="00087C2E"/>
    <w:rsid w:val="0009043B"/>
    <w:rsid w:val="00092A05"/>
    <w:rsid w:val="0009586C"/>
    <w:rsid w:val="00096B1E"/>
    <w:rsid w:val="00097B1A"/>
    <w:rsid w:val="000A2601"/>
    <w:rsid w:val="000A4802"/>
    <w:rsid w:val="000A5C7A"/>
    <w:rsid w:val="000B3F09"/>
    <w:rsid w:val="000B42C1"/>
    <w:rsid w:val="000B43AF"/>
    <w:rsid w:val="000B5714"/>
    <w:rsid w:val="000C289B"/>
    <w:rsid w:val="000C30C9"/>
    <w:rsid w:val="000C791D"/>
    <w:rsid w:val="000D0B45"/>
    <w:rsid w:val="000D17BF"/>
    <w:rsid w:val="000D4711"/>
    <w:rsid w:val="000E0657"/>
    <w:rsid w:val="000E3884"/>
    <w:rsid w:val="000F4C11"/>
    <w:rsid w:val="000F57B1"/>
    <w:rsid w:val="000F7DB2"/>
    <w:rsid w:val="000F7FD7"/>
    <w:rsid w:val="001003BB"/>
    <w:rsid w:val="00106257"/>
    <w:rsid w:val="00106C8D"/>
    <w:rsid w:val="00107686"/>
    <w:rsid w:val="001121CF"/>
    <w:rsid w:val="00112429"/>
    <w:rsid w:val="00115DDC"/>
    <w:rsid w:val="00122E36"/>
    <w:rsid w:val="00123467"/>
    <w:rsid w:val="001244B7"/>
    <w:rsid w:val="00130AFE"/>
    <w:rsid w:val="00134D61"/>
    <w:rsid w:val="00142ADF"/>
    <w:rsid w:val="00145593"/>
    <w:rsid w:val="00146E57"/>
    <w:rsid w:val="00146EE7"/>
    <w:rsid w:val="001507DF"/>
    <w:rsid w:val="00153B4A"/>
    <w:rsid w:val="00160C6A"/>
    <w:rsid w:val="00163FB2"/>
    <w:rsid w:val="00174F90"/>
    <w:rsid w:val="00177AF1"/>
    <w:rsid w:val="00181468"/>
    <w:rsid w:val="00181D4C"/>
    <w:rsid w:val="00182305"/>
    <w:rsid w:val="0018465A"/>
    <w:rsid w:val="00192BA4"/>
    <w:rsid w:val="00194765"/>
    <w:rsid w:val="00197B0B"/>
    <w:rsid w:val="001A0358"/>
    <w:rsid w:val="001A19CF"/>
    <w:rsid w:val="001B2526"/>
    <w:rsid w:val="001B6523"/>
    <w:rsid w:val="001C034F"/>
    <w:rsid w:val="001C117B"/>
    <w:rsid w:val="001C471F"/>
    <w:rsid w:val="001C4EC1"/>
    <w:rsid w:val="001C5DAA"/>
    <w:rsid w:val="001C631E"/>
    <w:rsid w:val="001D1652"/>
    <w:rsid w:val="001D2C1F"/>
    <w:rsid w:val="001E27C1"/>
    <w:rsid w:val="001E5794"/>
    <w:rsid w:val="001E5E0D"/>
    <w:rsid w:val="001F2271"/>
    <w:rsid w:val="00203254"/>
    <w:rsid w:val="0020381C"/>
    <w:rsid w:val="002039C1"/>
    <w:rsid w:val="002047C5"/>
    <w:rsid w:val="00205A6D"/>
    <w:rsid w:val="002064F4"/>
    <w:rsid w:val="00211D83"/>
    <w:rsid w:val="00214084"/>
    <w:rsid w:val="00226172"/>
    <w:rsid w:val="002278C0"/>
    <w:rsid w:val="00236EA3"/>
    <w:rsid w:val="00236FF4"/>
    <w:rsid w:val="002400AC"/>
    <w:rsid w:val="002461D8"/>
    <w:rsid w:val="002477E0"/>
    <w:rsid w:val="0025056D"/>
    <w:rsid w:val="00252CF2"/>
    <w:rsid w:val="0025408B"/>
    <w:rsid w:val="00254E86"/>
    <w:rsid w:val="00256E7C"/>
    <w:rsid w:val="002679BF"/>
    <w:rsid w:val="002712D6"/>
    <w:rsid w:val="00271558"/>
    <w:rsid w:val="00277720"/>
    <w:rsid w:val="00285A02"/>
    <w:rsid w:val="00286C78"/>
    <w:rsid w:val="00292752"/>
    <w:rsid w:val="00295D34"/>
    <w:rsid w:val="002B5872"/>
    <w:rsid w:val="002C0747"/>
    <w:rsid w:val="002C10CE"/>
    <w:rsid w:val="002C3081"/>
    <w:rsid w:val="002D13B3"/>
    <w:rsid w:val="002D23B1"/>
    <w:rsid w:val="002D56AE"/>
    <w:rsid w:val="002D6043"/>
    <w:rsid w:val="002E0504"/>
    <w:rsid w:val="002E162E"/>
    <w:rsid w:val="002F42FE"/>
    <w:rsid w:val="002F6C2E"/>
    <w:rsid w:val="002F7753"/>
    <w:rsid w:val="00310589"/>
    <w:rsid w:val="00310649"/>
    <w:rsid w:val="003109BD"/>
    <w:rsid w:val="00311622"/>
    <w:rsid w:val="00312303"/>
    <w:rsid w:val="0031615B"/>
    <w:rsid w:val="00330845"/>
    <w:rsid w:val="00335977"/>
    <w:rsid w:val="003422F0"/>
    <w:rsid w:val="00342CC1"/>
    <w:rsid w:val="003437E4"/>
    <w:rsid w:val="00344C1E"/>
    <w:rsid w:val="003508E3"/>
    <w:rsid w:val="0035455F"/>
    <w:rsid w:val="00362535"/>
    <w:rsid w:val="00364FF1"/>
    <w:rsid w:val="00370045"/>
    <w:rsid w:val="00375E3C"/>
    <w:rsid w:val="00376684"/>
    <w:rsid w:val="00381B69"/>
    <w:rsid w:val="00381FB3"/>
    <w:rsid w:val="00382F24"/>
    <w:rsid w:val="0038785F"/>
    <w:rsid w:val="003917A4"/>
    <w:rsid w:val="003A3D95"/>
    <w:rsid w:val="003A4627"/>
    <w:rsid w:val="003A56C9"/>
    <w:rsid w:val="003A7DBD"/>
    <w:rsid w:val="003B50B7"/>
    <w:rsid w:val="003B5BA6"/>
    <w:rsid w:val="003B6709"/>
    <w:rsid w:val="003B699E"/>
    <w:rsid w:val="003C142D"/>
    <w:rsid w:val="003C27FB"/>
    <w:rsid w:val="003C2EC5"/>
    <w:rsid w:val="003C7054"/>
    <w:rsid w:val="003C766D"/>
    <w:rsid w:val="003D44FC"/>
    <w:rsid w:val="003D53A4"/>
    <w:rsid w:val="003E2A21"/>
    <w:rsid w:val="003E5686"/>
    <w:rsid w:val="003E61C0"/>
    <w:rsid w:val="003E7438"/>
    <w:rsid w:val="003F1396"/>
    <w:rsid w:val="003F1ABE"/>
    <w:rsid w:val="003F2BC8"/>
    <w:rsid w:val="003F3C00"/>
    <w:rsid w:val="003F3D53"/>
    <w:rsid w:val="004006F9"/>
    <w:rsid w:val="00402329"/>
    <w:rsid w:val="0041514E"/>
    <w:rsid w:val="004229E6"/>
    <w:rsid w:val="00427189"/>
    <w:rsid w:val="004323CD"/>
    <w:rsid w:val="004323F3"/>
    <w:rsid w:val="004374D6"/>
    <w:rsid w:val="004430E4"/>
    <w:rsid w:val="0044338C"/>
    <w:rsid w:val="00443D95"/>
    <w:rsid w:val="00445269"/>
    <w:rsid w:val="00446978"/>
    <w:rsid w:val="00451F85"/>
    <w:rsid w:val="004549AC"/>
    <w:rsid w:val="00454B05"/>
    <w:rsid w:val="004561CE"/>
    <w:rsid w:val="00464631"/>
    <w:rsid w:val="00472E0E"/>
    <w:rsid w:val="0047466A"/>
    <w:rsid w:val="00476C46"/>
    <w:rsid w:val="0048018B"/>
    <w:rsid w:val="00484608"/>
    <w:rsid w:val="00486906"/>
    <w:rsid w:val="00487479"/>
    <w:rsid w:val="00490140"/>
    <w:rsid w:val="0049270C"/>
    <w:rsid w:val="004951A9"/>
    <w:rsid w:val="004A4455"/>
    <w:rsid w:val="004B06AF"/>
    <w:rsid w:val="004B4120"/>
    <w:rsid w:val="004C3D0F"/>
    <w:rsid w:val="004C5BF4"/>
    <w:rsid w:val="004C6C2F"/>
    <w:rsid w:val="004C7353"/>
    <w:rsid w:val="004D12EA"/>
    <w:rsid w:val="004D1EF5"/>
    <w:rsid w:val="004E3984"/>
    <w:rsid w:val="004E3C8D"/>
    <w:rsid w:val="004F0B7C"/>
    <w:rsid w:val="004F13D9"/>
    <w:rsid w:val="004F25C2"/>
    <w:rsid w:val="004F27C4"/>
    <w:rsid w:val="004F59C0"/>
    <w:rsid w:val="004F6EDF"/>
    <w:rsid w:val="00500F26"/>
    <w:rsid w:val="00501220"/>
    <w:rsid w:val="0050276E"/>
    <w:rsid w:val="00513353"/>
    <w:rsid w:val="00517927"/>
    <w:rsid w:val="005258DA"/>
    <w:rsid w:val="00526027"/>
    <w:rsid w:val="005277AA"/>
    <w:rsid w:val="005305E7"/>
    <w:rsid w:val="00530884"/>
    <w:rsid w:val="00530F71"/>
    <w:rsid w:val="005376BD"/>
    <w:rsid w:val="00541911"/>
    <w:rsid w:val="005432CD"/>
    <w:rsid w:val="00547011"/>
    <w:rsid w:val="005509B8"/>
    <w:rsid w:val="0056462E"/>
    <w:rsid w:val="005675B8"/>
    <w:rsid w:val="00575502"/>
    <w:rsid w:val="00575B90"/>
    <w:rsid w:val="00581E4C"/>
    <w:rsid w:val="00596285"/>
    <w:rsid w:val="005A14D0"/>
    <w:rsid w:val="005A6C80"/>
    <w:rsid w:val="005B0DBB"/>
    <w:rsid w:val="005B4A5C"/>
    <w:rsid w:val="005B4DEB"/>
    <w:rsid w:val="005B667C"/>
    <w:rsid w:val="005B7EFA"/>
    <w:rsid w:val="005C0B31"/>
    <w:rsid w:val="005C51A7"/>
    <w:rsid w:val="005D1EFD"/>
    <w:rsid w:val="005D27F0"/>
    <w:rsid w:val="005D4485"/>
    <w:rsid w:val="005E1335"/>
    <w:rsid w:val="005E3CF2"/>
    <w:rsid w:val="005F08D5"/>
    <w:rsid w:val="005F1A71"/>
    <w:rsid w:val="00600B6C"/>
    <w:rsid w:val="006059AF"/>
    <w:rsid w:val="00605C23"/>
    <w:rsid w:val="00607D9F"/>
    <w:rsid w:val="00617533"/>
    <w:rsid w:val="00620E98"/>
    <w:rsid w:val="006239F4"/>
    <w:rsid w:val="00627D92"/>
    <w:rsid w:val="00630CEC"/>
    <w:rsid w:val="00632D8A"/>
    <w:rsid w:val="00635E91"/>
    <w:rsid w:val="006374EB"/>
    <w:rsid w:val="00641317"/>
    <w:rsid w:val="00642566"/>
    <w:rsid w:val="006431B6"/>
    <w:rsid w:val="006446BB"/>
    <w:rsid w:val="0065061D"/>
    <w:rsid w:val="006552D3"/>
    <w:rsid w:val="00662124"/>
    <w:rsid w:val="0066293C"/>
    <w:rsid w:val="00664AC4"/>
    <w:rsid w:val="0067254C"/>
    <w:rsid w:val="006725F3"/>
    <w:rsid w:val="00672DDD"/>
    <w:rsid w:val="0067311D"/>
    <w:rsid w:val="0067472B"/>
    <w:rsid w:val="006805EE"/>
    <w:rsid w:val="006846D4"/>
    <w:rsid w:val="00685CEE"/>
    <w:rsid w:val="006872A5"/>
    <w:rsid w:val="00691DA3"/>
    <w:rsid w:val="00692A92"/>
    <w:rsid w:val="00692CC2"/>
    <w:rsid w:val="00697493"/>
    <w:rsid w:val="006A0BE1"/>
    <w:rsid w:val="006A1BC8"/>
    <w:rsid w:val="006A4E0C"/>
    <w:rsid w:val="006B21BD"/>
    <w:rsid w:val="006B5954"/>
    <w:rsid w:val="006B62ED"/>
    <w:rsid w:val="006C56D9"/>
    <w:rsid w:val="006C5BFC"/>
    <w:rsid w:val="006C684C"/>
    <w:rsid w:val="006D5D74"/>
    <w:rsid w:val="006D6C51"/>
    <w:rsid w:val="006D6EB9"/>
    <w:rsid w:val="006E493A"/>
    <w:rsid w:val="006E7CB3"/>
    <w:rsid w:val="006F08B5"/>
    <w:rsid w:val="006F2647"/>
    <w:rsid w:val="006F2977"/>
    <w:rsid w:val="006F52A3"/>
    <w:rsid w:val="006F7FE9"/>
    <w:rsid w:val="0070310F"/>
    <w:rsid w:val="0070370E"/>
    <w:rsid w:val="007137DE"/>
    <w:rsid w:val="007169FD"/>
    <w:rsid w:val="00717803"/>
    <w:rsid w:val="00734F2C"/>
    <w:rsid w:val="00735D7D"/>
    <w:rsid w:val="007367E5"/>
    <w:rsid w:val="00740035"/>
    <w:rsid w:val="00745885"/>
    <w:rsid w:val="00755F6F"/>
    <w:rsid w:val="00756425"/>
    <w:rsid w:val="00760F72"/>
    <w:rsid w:val="00766E33"/>
    <w:rsid w:val="00774E4D"/>
    <w:rsid w:val="00780418"/>
    <w:rsid w:val="00780830"/>
    <w:rsid w:val="007834C0"/>
    <w:rsid w:val="00793695"/>
    <w:rsid w:val="0079706E"/>
    <w:rsid w:val="00797E23"/>
    <w:rsid w:val="007A06B6"/>
    <w:rsid w:val="007B081A"/>
    <w:rsid w:val="007B7B67"/>
    <w:rsid w:val="007C48BB"/>
    <w:rsid w:val="007C52A7"/>
    <w:rsid w:val="007D02CD"/>
    <w:rsid w:val="007D2985"/>
    <w:rsid w:val="007E1F54"/>
    <w:rsid w:val="007E7208"/>
    <w:rsid w:val="007F4520"/>
    <w:rsid w:val="007F6823"/>
    <w:rsid w:val="007F6850"/>
    <w:rsid w:val="008021D2"/>
    <w:rsid w:val="00810DB3"/>
    <w:rsid w:val="00815D79"/>
    <w:rsid w:val="0082029C"/>
    <w:rsid w:val="00824541"/>
    <w:rsid w:val="00834728"/>
    <w:rsid w:val="008427E1"/>
    <w:rsid w:val="00843CF3"/>
    <w:rsid w:val="0084400F"/>
    <w:rsid w:val="0084688C"/>
    <w:rsid w:val="00855FBB"/>
    <w:rsid w:val="008722F2"/>
    <w:rsid w:val="00872774"/>
    <w:rsid w:val="00872C0B"/>
    <w:rsid w:val="00880578"/>
    <w:rsid w:val="008837D4"/>
    <w:rsid w:val="00885D66"/>
    <w:rsid w:val="00886812"/>
    <w:rsid w:val="00887123"/>
    <w:rsid w:val="008902A7"/>
    <w:rsid w:val="00892100"/>
    <w:rsid w:val="00893A9D"/>
    <w:rsid w:val="008964C2"/>
    <w:rsid w:val="008A1F82"/>
    <w:rsid w:val="008A3529"/>
    <w:rsid w:val="008B09A0"/>
    <w:rsid w:val="008B4026"/>
    <w:rsid w:val="008C34C9"/>
    <w:rsid w:val="008C37D9"/>
    <w:rsid w:val="008C59F0"/>
    <w:rsid w:val="008D191D"/>
    <w:rsid w:val="008D1CD2"/>
    <w:rsid w:val="008D4FFB"/>
    <w:rsid w:val="008D65ED"/>
    <w:rsid w:val="008F2687"/>
    <w:rsid w:val="008F2A23"/>
    <w:rsid w:val="008F47A1"/>
    <w:rsid w:val="008F4B3D"/>
    <w:rsid w:val="009006EA"/>
    <w:rsid w:val="00904CFA"/>
    <w:rsid w:val="0092093F"/>
    <w:rsid w:val="00921A92"/>
    <w:rsid w:val="00921E3F"/>
    <w:rsid w:val="00924E5E"/>
    <w:rsid w:val="009260E0"/>
    <w:rsid w:val="009273F3"/>
    <w:rsid w:val="009305E1"/>
    <w:rsid w:val="00936CB4"/>
    <w:rsid w:val="009415C7"/>
    <w:rsid w:val="0094360E"/>
    <w:rsid w:val="00944533"/>
    <w:rsid w:val="009453E2"/>
    <w:rsid w:val="0094742F"/>
    <w:rsid w:val="0095080F"/>
    <w:rsid w:val="0096111A"/>
    <w:rsid w:val="009700B1"/>
    <w:rsid w:val="00973611"/>
    <w:rsid w:val="00975C71"/>
    <w:rsid w:val="00984EEB"/>
    <w:rsid w:val="00987270"/>
    <w:rsid w:val="009959DD"/>
    <w:rsid w:val="009971B6"/>
    <w:rsid w:val="009A0796"/>
    <w:rsid w:val="009A096B"/>
    <w:rsid w:val="009A5B59"/>
    <w:rsid w:val="009A76CB"/>
    <w:rsid w:val="009B33C6"/>
    <w:rsid w:val="009B7807"/>
    <w:rsid w:val="009B7A9B"/>
    <w:rsid w:val="009C284A"/>
    <w:rsid w:val="009C3DE7"/>
    <w:rsid w:val="009C6E66"/>
    <w:rsid w:val="009D1C29"/>
    <w:rsid w:val="009D2FC9"/>
    <w:rsid w:val="009D4EFC"/>
    <w:rsid w:val="009D6D8F"/>
    <w:rsid w:val="009E01D7"/>
    <w:rsid w:val="009E087D"/>
    <w:rsid w:val="009E0BA7"/>
    <w:rsid w:val="009E0FA7"/>
    <w:rsid w:val="009E471C"/>
    <w:rsid w:val="009E73F8"/>
    <w:rsid w:val="009F2E51"/>
    <w:rsid w:val="00A0206D"/>
    <w:rsid w:val="00A124EF"/>
    <w:rsid w:val="00A16EFA"/>
    <w:rsid w:val="00A259C5"/>
    <w:rsid w:val="00A264E1"/>
    <w:rsid w:val="00A26536"/>
    <w:rsid w:val="00A31874"/>
    <w:rsid w:val="00A3377C"/>
    <w:rsid w:val="00A35260"/>
    <w:rsid w:val="00A35885"/>
    <w:rsid w:val="00A37742"/>
    <w:rsid w:val="00A41757"/>
    <w:rsid w:val="00A423CE"/>
    <w:rsid w:val="00A430FC"/>
    <w:rsid w:val="00A44B7C"/>
    <w:rsid w:val="00A47C05"/>
    <w:rsid w:val="00A50B49"/>
    <w:rsid w:val="00A51B31"/>
    <w:rsid w:val="00A53ED6"/>
    <w:rsid w:val="00A664AA"/>
    <w:rsid w:val="00A713EA"/>
    <w:rsid w:val="00A71CE8"/>
    <w:rsid w:val="00A76F39"/>
    <w:rsid w:val="00A8721A"/>
    <w:rsid w:val="00A876C7"/>
    <w:rsid w:val="00AA0714"/>
    <w:rsid w:val="00AA7396"/>
    <w:rsid w:val="00AA7C7C"/>
    <w:rsid w:val="00AB1351"/>
    <w:rsid w:val="00AB1FA4"/>
    <w:rsid w:val="00AB24A2"/>
    <w:rsid w:val="00AB28A4"/>
    <w:rsid w:val="00AB4BFD"/>
    <w:rsid w:val="00AB50D2"/>
    <w:rsid w:val="00AB5C3E"/>
    <w:rsid w:val="00AB7D55"/>
    <w:rsid w:val="00AC0529"/>
    <w:rsid w:val="00AC24FD"/>
    <w:rsid w:val="00AC5B65"/>
    <w:rsid w:val="00AC74E1"/>
    <w:rsid w:val="00AD01CA"/>
    <w:rsid w:val="00AD242D"/>
    <w:rsid w:val="00AD35F7"/>
    <w:rsid w:val="00AD538C"/>
    <w:rsid w:val="00AD76A1"/>
    <w:rsid w:val="00AE1A50"/>
    <w:rsid w:val="00AE72F0"/>
    <w:rsid w:val="00AF142F"/>
    <w:rsid w:val="00AF6C02"/>
    <w:rsid w:val="00B0126B"/>
    <w:rsid w:val="00B06A5B"/>
    <w:rsid w:val="00B07CC7"/>
    <w:rsid w:val="00B10FC9"/>
    <w:rsid w:val="00B111D5"/>
    <w:rsid w:val="00B14E69"/>
    <w:rsid w:val="00B15133"/>
    <w:rsid w:val="00B15486"/>
    <w:rsid w:val="00B2461E"/>
    <w:rsid w:val="00B26A35"/>
    <w:rsid w:val="00B3189E"/>
    <w:rsid w:val="00B37551"/>
    <w:rsid w:val="00B4397C"/>
    <w:rsid w:val="00B45066"/>
    <w:rsid w:val="00B474D0"/>
    <w:rsid w:val="00B57194"/>
    <w:rsid w:val="00B610E5"/>
    <w:rsid w:val="00B64479"/>
    <w:rsid w:val="00B70CD9"/>
    <w:rsid w:val="00B76F13"/>
    <w:rsid w:val="00B77819"/>
    <w:rsid w:val="00B84288"/>
    <w:rsid w:val="00B912ED"/>
    <w:rsid w:val="00B92951"/>
    <w:rsid w:val="00B97845"/>
    <w:rsid w:val="00BA0556"/>
    <w:rsid w:val="00BA30F4"/>
    <w:rsid w:val="00BA4331"/>
    <w:rsid w:val="00BA4ED0"/>
    <w:rsid w:val="00BA5A24"/>
    <w:rsid w:val="00BB066F"/>
    <w:rsid w:val="00BB204B"/>
    <w:rsid w:val="00BB41C0"/>
    <w:rsid w:val="00BB64A0"/>
    <w:rsid w:val="00BC2CE3"/>
    <w:rsid w:val="00BC5999"/>
    <w:rsid w:val="00BD56FF"/>
    <w:rsid w:val="00BD6646"/>
    <w:rsid w:val="00BE0B45"/>
    <w:rsid w:val="00BE4079"/>
    <w:rsid w:val="00BE530D"/>
    <w:rsid w:val="00BF30E9"/>
    <w:rsid w:val="00BF4F4D"/>
    <w:rsid w:val="00C0507F"/>
    <w:rsid w:val="00C07F62"/>
    <w:rsid w:val="00C141A3"/>
    <w:rsid w:val="00C14DF9"/>
    <w:rsid w:val="00C1692C"/>
    <w:rsid w:val="00C206A1"/>
    <w:rsid w:val="00C21985"/>
    <w:rsid w:val="00C24243"/>
    <w:rsid w:val="00C255F2"/>
    <w:rsid w:val="00C26F47"/>
    <w:rsid w:val="00C30B14"/>
    <w:rsid w:val="00C30CCA"/>
    <w:rsid w:val="00C34CCC"/>
    <w:rsid w:val="00C36045"/>
    <w:rsid w:val="00C414C6"/>
    <w:rsid w:val="00C476C2"/>
    <w:rsid w:val="00C51A24"/>
    <w:rsid w:val="00C52ECF"/>
    <w:rsid w:val="00C530CB"/>
    <w:rsid w:val="00C5432D"/>
    <w:rsid w:val="00C56BC2"/>
    <w:rsid w:val="00C57019"/>
    <w:rsid w:val="00C60C8F"/>
    <w:rsid w:val="00C63C56"/>
    <w:rsid w:val="00C64403"/>
    <w:rsid w:val="00C70654"/>
    <w:rsid w:val="00C73956"/>
    <w:rsid w:val="00C75685"/>
    <w:rsid w:val="00C75A71"/>
    <w:rsid w:val="00C75EBA"/>
    <w:rsid w:val="00C7746A"/>
    <w:rsid w:val="00C81405"/>
    <w:rsid w:val="00C816E5"/>
    <w:rsid w:val="00C82CDB"/>
    <w:rsid w:val="00C8333F"/>
    <w:rsid w:val="00C83AF5"/>
    <w:rsid w:val="00C84B74"/>
    <w:rsid w:val="00C867B4"/>
    <w:rsid w:val="00C951CE"/>
    <w:rsid w:val="00CA714B"/>
    <w:rsid w:val="00CB1E50"/>
    <w:rsid w:val="00CB2A18"/>
    <w:rsid w:val="00CB72E0"/>
    <w:rsid w:val="00CC0E4F"/>
    <w:rsid w:val="00CC2A3C"/>
    <w:rsid w:val="00CC2B4D"/>
    <w:rsid w:val="00CC6211"/>
    <w:rsid w:val="00CD2639"/>
    <w:rsid w:val="00CD6062"/>
    <w:rsid w:val="00CE05D0"/>
    <w:rsid w:val="00CE0B30"/>
    <w:rsid w:val="00CE7582"/>
    <w:rsid w:val="00CF4135"/>
    <w:rsid w:val="00CF4693"/>
    <w:rsid w:val="00CF5587"/>
    <w:rsid w:val="00D00CF5"/>
    <w:rsid w:val="00D105F0"/>
    <w:rsid w:val="00D110B0"/>
    <w:rsid w:val="00D111FF"/>
    <w:rsid w:val="00D11759"/>
    <w:rsid w:val="00D166F7"/>
    <w:rsid w:val="00D16B9C"/>
    <w:rsid w:val="00D221EE"/>
    <w:rsid w:val="00D255AA"/>
    <w:rsid w:val="00D32405"/>
    <w:rsid w:val="00D34B65"/>
    <w:rsid w:val="00D40377"/>
    <w:rsid w:val="00D43EA9"/>
    <w:rsid w:val="00D45401"/>
    <w:rsid w:val="00D527C0"/>
    <w:rsid w:val="00D54B04"/>
    <w:rsid w:val="00D613EA"/>
    <w:rsid w:val="00D63089"/>
    <w:rsid w:val="00D710C8"/>
    <w:rsid w:val="00D71638"/>
    <w:rsid w:val="00D73E6F"/>
    <w:rsid w:val="00D75010"/>
    <w:rsid w:val="00D77B2F"/>
    <w:rsid w:val="00D809EA"/>
    <w:rsid w:val="00D80E4C"/>
    <w:rsid w:val="00D86431"/>
    <w:rsid w:val="00D867FA"/>
    <w:rsid w:val="00DA19D4"/>
    <w:rsid w:val="00DA3F15"/>
    <w:rsid w:val="00DA4596"/>
    <w:rsid w:val="00DA55F2"/>
    <w:rsid w:val="00DA730A"/>
    <w:rsid w:val="00DB1336"/>
    <w:rsid w:val="00DB66C3"/>
    <w:rsid w:val="00DC099B"/>
    <w:rsid w:val="00DC15B2"/>
    <w:rsid w:val="00DC267B"/>
    <w:rsid w:val="00DC2C6A"/>
    <w:rsid w:val="00DC4840"/>
    <w:rsid w:val="00DC63BF"/>
    <w:rsid w:val="00DD1E95"/>
    <w:rsid w:val="00DD3EB1"/>
    <w:rsid w:val="00DD4A43"/>
    <w:rsid w:val="00DE2CC3"/>
    <w:rsid w:val="00DE5048"/>
    <w:rsid w:val="00DE515B"/>
    <w:rsid w:val="00E00085"/>
    <w:rsid w:val="00E04460"/>
    <w:rsid w:val="00E07071"/>
    <w:rsid w:val="00E12773"/>
    <w:rsid w:val="00E21CB9"/>
    <w:rsid w:val="00E2390A"/>
    <w:rsid w:val="00E30E28"/>
    <w:rsid w:val="00E347EE"/>
    <w:rsid w:val="00E42F00"/>
    <w:rsid w:val="00E43AEB"/>
    <w:rsid w:val="00E44958"/>
    <w:rsid w:val="00E519D5"/>
    <w:rsid w:val="00E52B78"/>
    <w:rsid w:val="00E53011"/>
    <w:rsid w:val="00E53D86"/>
    <w:rsid w:val="00E55863"/>
    <w:rsid w:val="00E57F3A"/>
    <w:rsid w:val="00E618B9"/>
    <w:rsid w:val="00E622E2"/>
    <w:rsid w:val="00E63067"/>
    <w:rsid w:val="00E666DD"/>
    <w:rsid w:val="00E6675F"/>
    <w:rsid w:val="00E67619"/>
    <w:rsid w:val="00E7345D"/>
    <w:rsid w:val="00E74E67"/>
    <w:rsid w:val="00E90CE2"/>
    <w:rsid w:val="00EA0D0F"/>
    <w:rsid w:val="00EA15F6"/>
    <w:rsid w:val="00EA24FF"/>
    <w:rsid w:val="00EA3C60"/>
    <w:rsid w:val="00EB5261"/>
    <w:rsid w:val="00EB5539"/>
    <w:rsid w:val="00EB73B9"/>
    <w:rsid w:val="00EC0122"/>
    <w:rsid w:val="00EC0999"/>
    <w:rsid w:val="00EC0E76"/>
    <w:rsid w:val="00EC6668"/>
    <w:rsid w:val="00EC749B"/>
    <w:rsid w:val="00EC78AB"/>
    <w:rsid w:val="00ED0483"/>
    <w:rsid w:val="00ED4AEE"/>
    <w:rsid w:val="00EF2342"/>
    <w:rsid w:val="00EF68A0"/>
    <w:rsid w:val="00EF7624"/>
    <w:rsid w:val="00EF78ED"/>
    <w:rsid w:val="00F0595B"/>
    <w:rsid w:val="00F05E15"/>
    <w:rsid w:val="00F07986"/>
    <w:rsid w:val="00F1095B"/>
    <w:rsid w:val="00F119CE"/>
    <w:rsid w:val="00F14855"/>
    <w:rsid w:val="00F15EA6"/>
    <w:rsid w:val="00F165CC"/>
    <w:rsid w:val="00F25563"/>
    <w:rsid w:val="00F268AA"/>
    <w:rsid w:val="00F27ACF"/>
    <w:rsid w:val="00F36859"/>
    <w:rsid w:val="00F4138E"/>
    <w:rsid w:val="00F4642C"/>
    <w:rsid w:val="00F47D19"/>
    <w:rsid w:val="00F50F7A"/>
    <w:rsid w:val="00F51DF3"/>
    <w:rsid w:val="00F521C8"/>
    <w:rsid w:val="00F54EA2"/>
    <w:rsid w:val="00F55422"/>
    <w:rsid w:val="00F57012"/>
    <w:rsid w:val="00F634A0"/>
    <w:rsid w:val="00F65BAF"/>
    <w:rsid w:val="00F704B0"/>
    <w:rsid w:val="00F812FD"/>
    <w:rsid w:val="00F85040"/>
    <w:rsid w:val="00F861B5"/>
    <w:rsid w:val="00F90D96"/>
    <w:rsid w:val="00F92DE1"/>
    <w:rsid w:val="00F94798"/>
    <w:rsid w:val="00F94EF5"/>
    <w:rsid w:val="00F96A03"/>
    <w:rsid w:val="00FA0B2C"/>
    <w:rsid w:val="00FA1F8D"/>
    <w:rsid w:val="00FA5509"/>
    <w:rsid w:val="00FA5B8B"/>
    <w:rsid w:val="00FA6CD6"/>
    <w:rsid w:val="00FB4230"/>
    <w:rsid w:val="00FB612D"/>
    <w:rsid w:val="00FB6BE8"/>
    <w:rsid w:val="00FC0E08"/>
    <w:rsid w:val="00FC22EA"/>
    <w:rsid w:val="00FC2AC0"/>
    <w:rsid w:val="00FC3BD7"/>
    <w:rsid w:val="00FC4814"/>
    <w:rsid w:val="00FC4AFE"/>
    <w:rsid w:val="00FC5E38"/>
    <w:rsid w:val="00FC6321"/>
    <w:rsid w:val="00FD1D91"/>
    <w:rsid w:val="00FD33DE"/>
    <w:rsid w:val="00FD37E6"/>
    <w:rsid w:val="00FE5E61"/>
    <w:rsid w:val="00FF2014"/>
    <w:rsid w:val="00FF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4C6C2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1 Char,Footnote Text Char Char Char,Footnote Text Char1 Char Char Char,Footnote Text Char Char Char Char Char,Footnote Text Char1 Char Char Char Char Char,rrfootnote Char Char Char Char Char Char,f,fn"/>
    <w:basedOn w:val="Normal"/>
    <w:link w:val="FootnoteTextChar"/>
    <w:semiHidden/>
    <w:rsid w:val="00672DDD"/>
  </w:style>
  <w:style w:type="character" w:styleId="FootnoteReference">
    <w:name w:val="footnote reference"/>
    <w:aliases w:val="Style 12,(NECG) Footnote Reference,o,fr,Style 3,Appel note de bas de p,Style 124,Style 13"/>
    <w:semiHidden/>
    <w:rsid w:val="00672DDD"/>
    <w:rPr>
      <w:vertAlign w:val="superscript"/>
    </w:rPr>
  </w:style>
  <w:style w:type="character" w:styleId="Hyperlink">
    <w:name w:val="Hyperlink"/>
    <w:rsid w:val="00F812FD"/>
    <w:rPr>
      <w:color w:val="0000FF"/>
      <w:u w:val="single"/>
    </w:rPr>
  </w:style>
  <w:style w:type="character" w:customStyle="1" w:styleId="FooterChar">
    <w:name w:val="Footer Char"/>
    <w:link w:val="Footer"/>
    <w:uiPriority w:val="99"/>
    <w:rsid w:val="00F521C8"/>
  </w:style>
  <w:style w:type="character" w:styleId="CommentReference">
    <w:name w:val="annotation reference"/>
    <w:rsid w:val="00A51B31"/>
    <w:rPr>
      <w:sz w:val="16"/>
      <w:szCs w:val="16"/>
    </w:rPr>
  </w:style>
  <w:style w:type="paragraph" w:styleId="CommentText">
    <w:name w:val="annotation text"/>
    <w:basedOn w:val="Normal"/>
    <w:link w:val="CommentTextChar"/>
    <w:rsid w:val="00A51B31"/>
  </w:style>
  <w:style w:type="character" w:customStyle="1" w:styleId="CommentTextChar">
    <w:name w:val="Comment Text Char"/>
    <w:basedOn w:val="DefaultParagraphFont"/>
    <w:link w:val="CommentText"/>
    <w:rsid w:val="00A51B31"/>
  </w:style>
  <w:style w:type="paragraph" w:styleId="CommentSubject">
    <w:name w:val="annotation subject"/>
    <w:basedOn w:val="CommentText"/>
    <w:next w:val="CommentText"/>
    <w:link w:val="CommentSubjectChar"/>
    <w:rsid w:val="00A51B31"/>
    <w:rPr>
      <w:b/>
      <w:bCs/>
    </w:rPr>
  </w:style>
  <w:style w:type="character" w:customStyle="1" w:styleId="CommentSubjectChar">
    <w:name w:val="Comment Subject Char"/>
    <w:link w:val="CommentSubject"/>
    <w:rsid w:val="00A51B31"/>
    <w:rPr>
      <w:b/>
      <w:bCs/>
    </w:rPr>
  </w:style>
  <w:style w:type="paragraph" w:styleId="BalloonText">
    <w:name w:val="Balloon Text"/>
    <w:basedOn w:val="Normal"/>
    <w:link w:val="BalloonTextChar"/>
    <w:rsid w:val="00A51B31"/>
    <w:rPr>
      <w:rFonts w:ascii="Tahoma" w:hAnsi="Tahoma" w:cs="Tahoma"/>
      <w:sz w:val="16"/>
      <w:szCs w:val="16"/>
    </w:rPr>
  </w:style>
  <w:style w:type="character" w:customStyle="1" w:styleId="BalloonTextChar">
    <w:name w:val="Balloon Text Char"/>
    <w:link w:val="BalloonText"/>
    <w:rsid w:val="00A51B31"/>
    <w:rPr>
      <w:rFonts w:ascii="Tahoma" w:hAnsi="Tahoma" w:cs="Tahoma"/>
      <w:sz w:val="16"/>
      <w:szCs w:val="16"/>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 Char,fn Char"/>
    <w:link w:val="FootnoteText"/>
    <w:semiHidden/>
    <w:rsid w:val="00B26A35"/>
  </w:style>
  <w:style w:type="character" w:styleId="Emphasis">
    <w:name w:val="Emphasis"/>
    <w:qFormat/>
    <w:rsid w:val="004C6C2F"/>
    <w:rPr>
      <w:i/>
      <w:iCs/>
    </w:rPr>
  </w:style>
  <w:style w:type="character" w:customStyle="1" w:styleId="Heading1Char">
    <w:name w:val="Heading 1 Char"/>
    <w:link w:val="Heading1"/>
    <w:rsid w:val="004C6C2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4C6C2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1 Char,Footnote Text Char Char Char,Footnote Text Char1 Char Char Char,Footnote Text Char Char Char Char Char,Footnote Text Char1 Char Char Char Char Char,rrfootnote Char Char Char Char Char Char,f,fn"/>
    <w:basedOn w:val="Normal"/>
    <w:link w:val="FootnoteTextChar"/>
    <w:semiHidden/>
    <w:rsid w:val="00672DDD"/>
  </w:style>
  <w:style w:type="character" w:styleId="FootnoteReference">
    <w:name w:val="footnote reference"/>
    <w:aliases w:val="Style 12,(NECG) Footnote Reference,o,fr,Style 3,Appel note de bas de p,Style 124,Style 13"/>
    <w:semiHidden/>
    <w:rsid w:val="00672DDD"/>
    <w:rPr>
      <w:vertAlign w:val="superscript"/>
    </w:rPr>
  </w:style>
  <w:style w:type="character" w:styleId="Hyperlink">
    <w:name w:val="Hyperlink"/>
    <w:rsid w:val="00F812FD"/>
    <w:rPr>
      <w:color w:val="0000FF"/>
      <w:u w:val="single"/>
    </w:rPr>
  </w:style>
  <w:style w:type="character" w:customStyle="1" w:styleId="FooterChar">
    <w:name w:val="Footer Char"/>
    <w:link w:val="Footer"/>
    <w:uiPriority w:val="99"/>
    <w:rsid w:val="00F521C8"/>
  </w:style>
  <w:style w:type="character" w:styleId="CommentReference">
    <w:name w:val="annotation reference"/>
    <w:rsid w:val="00A51B31"/>
    <w:rPr>
      <w:sz w:val="16"/>
      <w:szCs w:val="16"/>
    </w:rPr>
  </w:style>
  <w:style w:type="paragraph" w:styleId="CommentText">
    <w:name w:val="annotation text"/>
    <w:basedOn w:val="Normal"/>
    <w:link w:val="CommentTextChar"/>
    <w:rsid w:val="00A51B31"/>
  </w:style>
  <w:style w:type="character" w:customStyle="1" w:styleId="CommentTextChar">
    <w:name w:val="Comment Text Char"/>
    <w:basedOn w:val="DefaultParagraphFont"/>
    <w:link w:val="CommentText"/>
    <w:rsid w:val="00A51B31"/>
  </w:style>
  <w:style w:type="paragraph" w:styleId="CommentSubject">
    <w:name w:val="annotation subject"/>
    <w:basedOn w:val="CommentText"/>
    <w:next w:val="CommentText"/>
    <w:link w:val="CommentSubjectChar"/>
    <w:rsid w:val="00A51B31"/>
    <w:rPr>
      <w:b/>
      <w:bCs/>
    </w:rPr>
  </w:style>
  <w:style w:type="character" w:customStyle="1" w:styleId="CommentSubjectChar">
    <w:name w:val="Comment Subject Char"/>
    <w:link w:val="CommentSubject"/>
    <w:rsid w:val="00A51B31"/>
    <w:rPr>
      <w:b/>
      <w:bCs/>
    </w:rPr>
  </w:style>
  <w:style w:type="paragraph" w:styleId="BalloonText">
    <w:name w:val="Balloon Text"/>
    <w:basedOn w:val="Normal"/>
    <w:link w:val="BalloonTextChar"/>
    <w:rsid w:val="00A51B31"/>
    <w:rPr>
      <w:rFonts w:ascii="Tahoma" w:hAnsi="Tahoma" w:cs="Tahoma"/>
      <w:sz w:val="16"/>
      <w:szCs w:val="16"/>
    </w:rPr>
  </w:style>
  <w:style w:type="character" w:customStyle="1" w:styleId="BalloonTextChar">
    <w:name w:val="Balloon Text Char"/>
    <w:link w:val="BalloonText"/>
    <w:rsid w:val="00A51B31"/>
    <w:rPr>
      <w:rFonts w:ascii="Tahoma" w:hAnsi="Tahoma" w:cs="Tahoma"/>
      <w:sz w:val="16"/>
      <w:szCs w:val="16"/>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 Char,fn Char"/>
    <w:link w:val="FootnoteText"/>
    <w:semiHidden/>
    <w:rsid w:val="00B26A35"/>
  </w:style>
  <w:style w:type="character" w:styleId="Emphasis">
    <w:name w:val="Emphasis"/>
    <w:qFormat/>
    <w:rsid w:val="004C6C2F"/>
    <w:rPr>
      <w:i/>
      <w:iCs/>
    </w:rPr>
  </w:style>
  <w:style w:type="character" w:customStyle="1" w:styleId="Heading1Char">
    <w:name w:val="Heading 1 Char"/>
    <w:link w:val="Heading1"/>
    <w:rsid w:val="004C6C2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5124">
      <w:bodyDiv w:val="1"/>
      <w:marLeft w:val="30"/>
      <w:marRight w:val="30"/>
      <w:marTop w:val="30"/>
      <w:marBottom w:val="30"/>
      <w:divBdr>
        <w:top w:val="none" w:sz="0" w:space="0" w:color="auto"/>
        <w:left w:val="none" w:sz="0" w:space="0" w:color="auto"/>
        <w:bottom w:val="none" w:sz="0" w:space="0" w:color="auto"/>
        <w:right w:val="none" w:sz="0" w:space="0" w:color="auto"/>
      </w:divBdr>
      <w:divsChild>
        <w:div w:id="310986257">
          <w:marLeft w:val="0"/>
          <w:marRight w:val="0"/>
          <w:marTop w:val="0"/>
          <w:marBottom w:val="0"/>
          <w:divBdr>
            <w:top w:val="none" w:sz="0" w:space="0" w:color="auto"/>
            <w:left w:val="none" w:sz="0" w:space="0" w:color="auto"/>
            <w:bottom w:val="none" w:sz="0" w:space="0" w:color="auto"/>
            <w:right w:val="none" w:sz="0" w:space="0" w:color="auto"/>
          </w:divBdr>
          <w:divsChild>
            <w:div w:id="1852184655">
              <w:marLeft w:val="45"/>
              <w:marRight w:val="45"/>
              <w:marTop w:val="45"/>
              <w:marBottom w:val="45"/>
              <w:divBdr>
                <w:top w:val="none" w:sz="0" w:space="0" w:color="auto"/>
                <w:left w:val="none" w:sz="0" w:space="0" w:color="auto"/>
                <w:bottom w:val="none" w:sz="0" w:space="0" w:color="auto"/>
                <w:right w:val="none" w:sz="0" w:space="0" w:color="auto"/>
              </w:divBdr>
              <w:divsChild>
                <w:div w:id="1315531356">
                  <w:marLeft w:val="0"/>
                  <w:marRight w:val="0"/>
                  <w:marTop w:val="0"/>
                  <w:marBottom w:val="0"/>
                  <w:divBdr>
                    <w:top w:val="none" w:sz="0" w:space="0" w:color="auto"/>
                    <w:left w:val="none" w:sz="0" w:space="0" w:color="auto"/>
                    <w:bottom w:val="none" w:sz="0" w:space="0" w:color="auto"/>
                    <w:right w:val="none" w:sz="0" w:space="0" w:color="auto"/>
                  </w:divBdr>
                  <w:divsChild>
                    <w:div w:id="19649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82712">
      <w:bodyDiv w:val="1"/>
      <w:marLeft w:val="30"/>
      <w:marRight w:val="30"/>
      <w:marTop w:val="30"/>
      <w:marBottom w:val="30"/>
      <w:divBdr>
        <w:top w:val="none" w:sz="0" w:space="0" w:color="auto"/>
        <w:left w:val="none" w:sz="0" w:space="0" w:color="auto"/>
        <w:bottom w:val="none" w:sz="0" w:space="0" w:color="auto"/>
        <w:right w:val="none" w:sz="0" w:space="0" w:color="auto"/>
      </w:divBdr>
      <w:divsChild>
        <w:div w:id="984118712">
          <w:marLeft w:val="0"/>
          <w:marRight w:val="0"/>
          <w:marTop w:val="0"/>
          <w:marBottom w:val="0"/>
          <w:divBdr>
            <w:top w:val="none" w:sz="0" w:space="0" w:color="auto"/>
            <w:left w:val="none" w:sz="0" w:space="0" w:color="auto"/>
            <w:bottom w:val="none" w:sz="0" w:space="0" w:color="auto"/>
            <w:right w:val="none" w:sz="0" w:space="0" w:color="auto"/>
          </w:divBdr>
          <w:divsChild>
            <w:div w:id="10381110">
              <w:marLeft w:val="45"/>
              <w:marRight w:val="45"/>
              <w:marTop w:val="45"/>
              <w:marBottom w:val="45"/>
              <w:divBdr>
                <w:top w:val="none" w:sz="0" w:space="0" w:color="auto"/>
                <w:left w:val="none" w:sz="0" w:space="0" w:color="auto"/>
                <w:bottom w:val="none" w:sz="0" w:space="0" w:color="auto"/>
                <w:right w:val="none" w:sz="0" w:space="0" w:color="auto"/>
              </w:divBdr>
              <w:divsChild>
                <w:div w:id="1902397088">
                  <w:marLeft w:val="0"/>
                  <w:marRight w:val="0"/>
                  <w:marTop w:val="0"/>
                  <w:marBottom w:val="0"/>
                  <w:divBdr>
                    <w:top w:val="none" w:sz="0" w:space="0" w:color="auto"/>
                    <w:left w:val="none" w:sz="0" w:space="0" w:color="auto"/>
                    <w:bottom w:val="none" w:sz="0" w:space="0" w:color="auto"/>
                    <w:right w:val="none" w:sz="0" w:space="0" w:color="auto"/>
                  </w:divBdr>
                  <w:divsChild>
                    <w:div w:id="1271083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44808250">
      <w:bodyDiv w:val="1"/>
      <w:marLeft w:val="0"/>
      <w:marRight w:val="0"/>
      <w:marTop w:val="0"/>
      <w:marBottom w:val="0"/>
      <w:divBdr>
        <w:top w:val="none" w:sz="0" w:space="0" w:color="auto"/>
        <w:left w:val="none" w:sz="0" w:space="0" w:color="auto"/>
        <w:bottom w:val="none" w:sz="0" w:space="0" w:color="auto"/>
        <w:right w:val="none" w:sz="0" w:space="0" w:color="auto"/>
      </w:divBdr>
    </w:div>
    <w:div w:id="1431315678">
      <w:bodyDiv w:val="1"/>
      <w:marLeft w:val="30"/>
      <w:marRight w:val="30"/>
      <w:marTop w:val="30"/>
      <w:marBottom w:val="30"/>
      <w:divBdr>
        <w:top w:val="none" w:sz="0" w:space="0" w:color="auto"/>
        <w:left w:val="none" w:sz="0" w:space="0" w:color="auto"/>
        <w:bottom w:val="none" w:sz="0" w:space="0" w:color="auto"/>
        <w:right w:val="none" w:sz="0" w:space="0" w:color="auto"/>
      </w:divBdr>
      <w:divsChild>
        <w:div w:id="778183811">
          <w:marLeft w:val="0"/>
          <w:marRight w:val="0"/>
          <w:marTop w:val="0"/>
          <w:marBottom w:val="0"/>
          <w:divBdr>
            <w:top w:val="none" w:sz="0" w:space="0" w:color="auto"/>
            <w:left w:val="none" w:sz="0" w:space="0" w:color="auto"/>
            <w:bottom w:val="none" w:sz="0" w:space="0" w:color="auto"/>
            <w:right w:val="none" w:sz="0" w:space="0" w:color="auto"/>
          </w:divBdr>
          <w:divsChild>
            <w:div w:id="1991714016">
              <w:marLeft w:val="45"/>
              <w:marRight w:val="45"/>
              <w:marTop w:val="45"/>
              <w:marBottom w:val="45"/>
              <w:divBdr>
                <w:top w:val="none" w:sz="0" w:space="0" w:color="auto"/>
                <w:left w:val="none" w:sz="0" w:space="0" w:color="auto"/>
                <w:bottom w:val="none" w:sz="0" w:space="0" w:color="auto"/>
                <w:right w:val="none" w:sz="0" w:space="0" w:color="auto"/>
              </w:divBdr>
              <w:divsChild>
                <w:div w:id="909845379">
                  <w:marLeft w:val="0"/>
                  <w:marRight w:val="0"/>
                  <w:marTop w:val="0"/>
                  <w:marBottom w:val="0"/>
                  <w:divBdr>
                    <w:top w:val="none" w:sz="0" w:space="0" w:color="auto"/>
                    <w:left w:val="none" w:sz="0" w:space="0" w:color="auto"/>
                    <w:bottom w:val="none" w:sz="0" w:space="0" w:color="auto"/>
                    <w:right w:val="none" w:sz="0" w:space="0" w:color="auto"/>
                  </w:divBdr>
                  <w:divsChild>
                    <w:div w:id="1574855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49231583">
      <w:bodyDiv w:val="1"/>
      <w:marLeft w:val="30"/>
      <w:marRight w:val="30"/>
      <w:marTop w:val="30"/>
      <w:marBottom w:val="30"/>
      <w:divBdr>
        <w:top w:val="none" w:sz="0" w:space="0" w:color="auto"/>
        <w:left w:val="none" w:sz="0" w:space="0" w:color="auto"/>
        <w:bottom w:val="none" w:sz="0" w:space="0" w:color="auto"/>
        <w:right w:val="none" w:sz="0" w:space="0" w:color="auto"/>
      </w:divBdr>
      <w:divsChild>
        <w:div w:id="1553154746">
          <w:marLeft w:val="0"/>
          <w:marRight w:val="0"/>
          <w:marTop w:val="0"/>
          <w:marBottom w:val="0"/>
          <w:divBdr>
            <w:top w:val="none" w:sz="0" w:space="0" w:color="auto"/>
            <w:left w:val="none" w:sz="0" w:space="0" w:color="auto"/>
            <w:bottom w:val="none" w:sz="0" w:space="0" w:color="auto"/>
            <w:right w:val="none" w:sz="0" w:space="0" w:color="auto"/>
          </w:divBdr>
          <w:divsChild>
            <w:div w:id="2000965637">
              <w:marLeft w:val="45"/>
              <w:marRight w:val="45"/>
              <w:marTop w:val="45"/>
              <w:marBottom w:val="45"/>
              <w:divBdr>
                <w:top w:val="none" w:sz="0" w:space="0" w:color="auto"/>
                <w:left w:val="none" w:sz="0" w:space="0" w:color="auto"/>
                <w:bottom w:val="none" w:sz="0" w:space="0" w:color="auto"/>
                <w:right w:val="none" w:sz="0" w:space="0" w:color="auto"/>
              </w:divBdr>
              <w:divsChild>
                <w:div w:id="1409575306">
                  <w:marLeft w:val="0"/>
                  <w:marRight w:val="0"/>
                  <w:marTop w:val="0"/>
                  <w:marBottom w:val="0"/>
                  <w:divBdr>
                    <w:top w:val="none" w:sz="0" w:space="0" w:color="auto"/>
                    <w:left w:val="none" w:sz="0" w:space="0" w:color="auto"/>
                    <w:bottom w:val="none" w:sz="0" w:space="0" w:color="auto"/>
                    <w:right w:val="none" w:sz="0" w:space="0" w:color="auto"/>
                  </w:divBdr>
                  <w:divsChild>
                    <w:div w:id="489711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1718671">
      <w:bodyDiv w:val="1"/>
      <w:marLeft w:val="30"/>
      <w:marRight w:val="30"/>
      <w:marTop w:val="30"/>
      <w:marBottom w:val="30"/>
      <w:divBdr>
        <w:top w:val="none" w:sz="0" w:space="0" w:color="auto"/>
        <w:left w:val="none" w:sz="0" w:space="0" w:color="auto"/>
        <w:bottom w:val="none" w:sz="0" w:space="0" w:color="auto"/>
        <w:right w:val="none" w:sz="0" w:space="0" w:color="auto"/>
      </w:divBdr>
      <w:divsChild>
        <w:div w:id="1145505916">
          <w:marLeft w:val="0"/>
          <w:marRight w:val="0"/>
          <w:marTop w:val="0"/>
          <w:marBottom w:val="0"/>
          <w:divBdr>
            <w:top w:val="none" w:sz="0" w:space="0" w:color="auto"/>
            <w:left w:val="none" w:sz="0" w:space="0" w:color="auto"/>
            <w:bottom w:val="none" w:sz="0" w:space="0" w:color="auto"/>
            <w:right w:val="none" w:sz="0" w:space="0" w:color="auto"/>
          </w:divBdr>
          <w:divsChild>
            <w:div w:id="1597597768">
              <w:marLeft w:val="45"/>
              <w:marRight w:val="45"/>
              <w:marTop w:val="45"/>
              <w:marBottom w:val="45"/>
              <w:divBdr>
                <w:top w:val="none" w:sz="0" w:space="0" w:color="auto"/>
                <w:left w:val="none" w:sz="0" w:space="0" w:color="auto"/>
                <w:bottom w:val="none" w:sz="0" w:space="0" w:color="auto"/>
                <w:right w:val="none" w:sz="0" w:space="0" w:color="auto"/>
              </w:divBdr>
              <w:divsChild>
                <w:div w:id="1974671694">
                  <w:marLeft w:val="0"/>
                  <w:marRight w:val="0"/>
                  <w:marTop w:val="0"/>
                  <w:marBottom w:val="0"/>
                  <w:divBdr>
                    <w:top w:val="none" w:sz="0" w:space="0" w:color="auto"/>
                    <w:left w:val="none" w:sz="0" w:space="0" w:color="auto"/>
                    <w:bottom w:val="none" w:sz="0" w:space="0" w:color="auto"/>
                    <w:right w:val="none" w:sz="0" w:space="0" w:color="auto"/>
                  </w:divBdr>
                  <w:divsChild>
                    <w:div w:id="951742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79942008">
      <w:bodyDiv w:val="1"/>
      <w:marLeft w:val="30"/>
      <w:marRight w:val="30"/>
      <w:marTop w:val="30"/>
      <w:marBottom w:val="30"/>
      <w:divBdr>
        <w:top w:val="none" w:sz="0" w:space="0" w:color="auto"/>
        <w:left w:val="none" w:sz="0" w:space="0" w:color="auto"/>
        <w:bottom w:val="none" w:sz="0" w:space="0" w:color="auto"/>
        <w:right w:val="none" w:sz="0" w:space="0" w:color="auto"/>
      </w:divBdr>
      <w:divsChild>
        <w:div w:id="209659796">
          <w:marLeft w:val="0"/>
          <w:marRight w:val="0"/>
          <w:marTop w:val="0"/>
          <w:marBottom w:val="0"/>
          <w:divBdr>
            <w:top w:val="none" w:sz="0" w:space="0" w:color="auto"/>
            <w:left w:val="none" w:sz="0" w:space="0" w:color="auto"/>
            <w:bottom w:val="none" w:sz="0" w:space="0" w:color="auto"/>
            <w:right w:val="none" w:sz="0" w:space="0" w:color="auto"/>
          </w:divBdr>
          <w:divsChild>
            <w:div w:id="382025249">
              <w:marLeft w:val="45"/>
              <w:marRight w:val="45"/>
              <w:marTop w:val="45"/>
              <w:marBottom w:val="45"/>
              <w:divBdr>
                <w:top w:val="none" w:sz="0" w:space="0" w:color="auto"/>
                <w:left w:val="none" w:sz="0" w:space="0" w:color="auto"/>
                <w:bottom w:val="none" w:sz="0" w:space="0" w:color="auto"/>
                <w:right w:val="none" w:sz="0" w:space="0" w:color="auto"/>
              </w:divBdr>
              <w:divsChild>
                <w:div w:id="836506532">
                  <w:marLeft w:val="0"/>
                  <w:marRight w:val="0"/>
                  <w:marTop w:val="0"/>
                  <w:marBottom w:val="0"/>
                  <w:divBdr>
                    <w:top w:val="none" w:sz="0" w:space="0" w:color="auto"/>
                    <w:left w:val="none" w:sz="0" w:space="0" w:color="auto"/>
                    <w:bottom w:val="none" w:sz="0" w:space="0" w:color="auto"/>
                    <w:right w:val="none" w:sz="0" w:space="0" w:color="auto"/>
                  </w:divBdr>
                  <w:divsChild>
                    <w:div w:id="1874686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eb2.westlaw.com/find/default.wl?mt=Westlaw&amp;db=350&amp;tc=-1&amp;rp=%2ffind%2fdefault.wl&amp;findtype=Y&amp;ordoc=2030393716&amp;serialnum=1965114957&amp;vr=2.0&amp;fn=_top&amp;sv=Split&amp;tf=-1&amp;pbc=C80A4262&amp;rs=WLW13.04" TargetMode="External"/><Relationship Id="rId3" Type="http://schemas.openxmlformats.org/officeDocument/2006/relationships/hyperlink" Target="http://web2.westlaw.com/find/default.wl?mt=Westlaw&amp;db=4493&amp;tc=-1&amp;rp=%2ffind%2fdefault.wl&amp;findtype=Y&amp;ordoc=2030146671&amp;serialnum=2027351031&amp;vr=2.0&amp;fn=_top&amp;sv=Split&amp;tf=-1&amp;referencepositiontype=S&amp;pbc=48BB332C&amp;referenceposition=3385&amp;rs=WLW13.04" TargetMode="External"/><Relationship Id="rId7" Type="http://schemas.openxmlformats.org/officeDocument/2006/relationships/hyperlink" Target="http://web2.westlaw.com/find/default.wl?mt=Westlaw&amp;db=0001016&amp;tc=-1&amp;rp=%2ffind%2fdefault.wl&amp;findtype=Y&amp;ordoc=2030393716&amp;serialnum=1964077552&amp;vr=2.0&amp;fn=_top&amp;sv=Split&amp;tf=-1&amp;referencepositiontype=S&amp;pbc=C80A4262&amp;referenceposition=686&amp;rs=WLW13.04" TargetMode="External"/><Relationship Id="rId2" Type="http://schemas.openxmlformats.org/officeDocument/2006/relationships/hyperlink" Target="http://web2.westlaw.com/find/default.wl?mt=Westlaw&amp;db=1077005&amp;docname=UUID(I24BEE1901A-9A11E0A91FB-E055C1C7518)&amp;rp=%2ffind%2fdefault.wl&amp;findtype=l&amp;ordoc=2027351031&amp;tc=-1&amp;vr=2.0&amp;fn=_top&amp;sv=Split&amp;tf=-1&amp;pbc=F9C78176&amp;rs=WLW13.01" TargetMode="External"/><Relationship Id="rId1" Type="http://schemas.openxmlformats.org/officeDocument/2006/relationships/hyperlink" Target="http://web2.westlaw.com/find/default.wl?mt=Westlaw&amp;db=0004493&amp;tc=-1&amp;rp=%2ffind%2fdefault.wl&amp;findtype=Y&amp;ordoc=2029345501&amp;serialnum=2027351031&amp;vr=2.0&amp;fn=_top&amp;sv=Split&amp;tf=-1&amp;pbc=C1C3E923&amp;rs=WLW13.01" TargetMode="External"/><Relationship Id="rId6" Type="http://schemas.openxmlformats.org/officeDocument/2006/relationships/hyperlink" Target="http://web2.westlaw.com/find/default.wl?mt=Westlaw&amp;db=1000547&amp;docname=47CFRS1.106&amp;rp=%2ffind%2fdefault.wl&amp;findtype=L&amp;ordoc=2030393716&amp;tc=-1&amp;vr=2.0&amp;fn=_top&amp;sv=Split&amp;tf=-1&amp;referencepositiontype=T&amp;pbc=C80A4262&amp;referenceposition=SP%3b5ba1000067d06&amp;rs=WLW13.04" TargetMode="External"/><Relationship Id="rId5" Type="http://schemas.openxmlformats.org/officeDocument/2006/relationships/hyperlink" Target="http://web2.westlaw.com/find/default.wl?mt=Westlaw&amp;db=1000547&amp;docname=47CFRS1.106&amp;rp=%2ffind%2fdefault.wl&amp;findtype=L&amp;ordoc=2030393716&amp;tc=-1&amp;vr=2.0&amp;fn=_top&amp;sv=Split&amp;tf=-1&amp;referencepositiontype=T&amp;pbc=C80A4262&amp;referenceposition=SP%3b4b24000003ba5&amp;rs=WLW13.04" TargetMode="External"/><Relationship Id="rId4" Type="http://schemas.openxmlformats.org/officeDocument/2006/relationships/hyperlink" Target="http://web2.westlaw.com/find/default.wl?mt=Westlaw&amp;db=4493&amp;tc=-1&amp;rp=%2ffind%2fdefault.wl&amp;findtype=Y&amp;ordoc=2029948935&amp;serialnum=2027351031&amp;vr=2.0&amp;fn=_top&amp;sv=Split&amp;tf=-1&amp;referencepositiontype=S&amp;pbc=57B736FF&amp;referenceposition=3398&amp;rs=WLW13.04"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Wagner\AppData\Local\Microsoft\Windows\Temporary%20Internet%20Files\Content.Outlook\QIQFBW7N\DentonFX%20p4r(0709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DentonFX p4r(070913)</Template>
  <TotalTime>0</TotalTime>
  <Pages>3</Pages>
  <Words>995</Words>
  <Characters>5588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6930</CharactersWithSpaces>
  <SharedDoc>false</SharedDoc>
  <HyperlinkBase> </HyperlinkBase>
  <HLinks>
    <vt:vector size="60" baseType="variant">
      <vt:variant>
        <vt:i4>1572917</vt:i4>
      </vt:variant>
      <vt:variant>
        <vt:i4>27</vt:i4>
      </vt:variant>
      <vt:variant>
        <vt:i4>0</vt:i4>
      </vt:variant>
      <vt:variant>
        <vt:i4>5</vt:i4>
      </vt:variant>
      <vt:variant>
        <vt:lpwstr>http://web2.westlaw.com/find/default.wl?mt=Westlaw&amp;db=350&amp;tc=-1&amp;rp=%2ffind%2fdefault.wl&amp;findtype=Y&amp;ordoc=2030393716&amp;serialnum=1965114957&amp;vr=2.0&amp;fn=_top&amp;sv=Split&amp;tf=-1&amp;pbc=C80A4262&amp;rs=WLW13.04</vt:lpwstr>
      </vt:variant>
      <vt:variant>
        <vt:lpwstr/>
      </vt:variant>
      <vt:variant>
        <vt:i4>2949215</vt:i4>
      </vt:variant>
      <vt:variant>
        <vt:i4>24</vt:i4>
      </vt:variant>
      <vt:variant>
        <vt:i4>0</vt:i4>
      </vt:variant>
      <vt:variant>
        <vt:i4>5</vt:i4>
      </vt:variant>
      <vt:variant>
        <vt:lpwstr>http://web2.westlaw.com/find/default.wl?mt=Westlaw&amp;db=0001016&amp;tc=-1&amp;rp=%2ffind%2fdefault.wl&amp;findtype=Y&amp;ordoc=2030393716&amp;serialnum=1964077552&amp;vr=2.0&amp;fn=_top&amp;sv=Split&amp;tf=-1&amp;referencepositiontype=S&amp;pbc=C80A4262&amp;referenceposition=686&amp;rs=WLW13.04</vt:lpwstr>
      </vt:variant>
      <vt:variant>
        <vt:lpwstr/>
      </vt:variant>
      <vt:variant>
        <vt:i4>7864332</vt:i4>
      </vt:variant>
      <vt:variant>
        <vt:i4>21</vt:i4>
      </vt:variant>
      <vt:variant>
        <vt:i4>0</vt:i4>
      </vt:variant>
      <vt:variant>
        <vt:i4>5</vt:i4>
      </vt:variant>
      <vt:variant>
        <vt:lpwstr>http://web2.westlaw.com/find/default.wl?mt=Westlaw&amp;db=1000547&amp;docname=47CFRS1.106&amp;rp=%2ffind%2fdefault.wl&amp;findtype=L&amp;ordoc=2030393716&amp;tc=-1&amp;vr=2.0&amp;fn=_top&amp;sv=Split&amp;tf=-1&amp;referencepositiontype=T&amp;pbc=C80A4262&amp;referenceposition=SP%3b5ba1000067d06&amp;rs=WLW13.04</vt:lpwstr>
      </vt:variant>
      <vt:variant>
        <vt:lpwstr/>
      </vt:variant>
      <vt:variant>
        <vt:i4>2621533</vt:i4>
      </vt:variant>
      <vt:variant>
        <vt:i4>18</vt:i4>
      </vt:variant>
      <vt:variant>
        <vt:i4>0</vt:i4>
      </vt:variant>
      <vt:variant>
        <vt:i4>5</vt:i4>
      </vt:variant>
      <vt:variant>
        <vt:lpwstr>http://web2.westlaw.com/find/default.wl?mt=Westlaw&amp;db=1000547&amp;docname=47CFRS1.106&amp;rp=%2ffind%2fdefault.wl&amp;findtype=L&amp;ordoc=2030393716&amp;tc=-1&amp;vr=2.0&amp;fn=_top&amp;sv=Split&amp;tf=-1&amp;referencepositiontype=T&amp;pbc=C80A4262&amp;referenceposition=SP%3b4b24000003ba5&amp;rs=WLW13.04</vt:lpwstr>
      </vt:variant>
      <vt:variant>
        <vt:lpwstr/>
      </vt:variant>
      <vt:variant>
        <vt:i4>6684746</vt:i4>
      </vt:variant>
      <vt:variant>
        <vt:i4>15</vt:i4>
      </vt:variant>
      <vt:variant>
        <vt:i4>0</vt:i4>
      </vt:variant>
      <vt:variant>
        <vt:i4>5</vt:i4>
      </vt:variant>
      <vt:variant>
        <vt:lpwstr>http://web2.westlaw.com/find/default.wl?mt=Westlaw&amp;db=4493&amp;tc=-1&amp;rp=%2ffind%2fdefault.wl&amp;findtype=Y&amp;ordoc=2029948935&amp;serialnum=2027351031&amp;vr=2.0&amp;fn=_top&amp;sv=Split&amp;tf=-1&amp;referencepositiontype=S&amp;pbc=57B736FF&amp;referenceposition=3398&amp;rs=WLW13.04</vt:lpwstr>
      </vt:variant>
      <vt:variant>
        <vt:lpwstr/>
      </vt:variant>
      <vt:variant>
        <vt:i4>4128785</vt:i4>
      </vt:variant>
      <vt:variant>
        <vt:i4>12</vt:i4>
      </vt:variant>
      <vt:variant>
        <vt:i4>0</vt:i4>
      </vt:variant>
      <vt:variant>
        <vt:i4>5</vt:i4>
      </vt:variant>
      <vt:variant>
        <vt:lpwstr>http://web2.westlaw.com/find/default.wl?mt=Westlaw&amp;db=4493&amp;tc=-1&amp;rp=%2ffind%2fdefault.wl&amp;findtype=Y&amp;ordoc=2030146671&amp;serialnum=2027351031&amp;vr=2.0&amp;fn=_top&amp;sv=Split&amp;tf=-1&amp;referencepositiontype=S&amp;pbc=48BB332C&amp;referenceposition=3385&amp;rs=WLW13.04</vt:lpwstr>
      </vt:variant>
      <vt:variant>
        <vt:lpwstr/>
      </vt:variant>
      <vt:variant>
        <vt:i4>721018</vt:i4>
      </vt:variant>
      <vt:variant>
        <vt:i4>9</vt:i4>
      </vt:variant>
      <vt:variant>
        <vt:i4>0</vt:i4>
      </vt:variant>
      <vt:variant>
        <vt:i4>5</vt:i4>
      </vt:variant>
      <vt:variant>
        <vt:lpwstr>http://web2.westlaw.com/find/default.wl?mt=Westlaw&amp;db=1077005&amp;docname=UUID(I24BEE1901A-9A11E0A91FB-E055C1C7518)&amp;rp=%2ffind%2fdefault.wl&amp;findtype=l&amp;ordoc=2027351031&amp;tc=-1&amp;vr=2.0&amp;fn=_top&amp;sv=Split&amp;tf=-1&amp;pbc=F9C78176&amp;rs=WLW13.01</vt:lpwstr>
      </vt:variant>
      <vt:variant>
        <vt:lpwstr/>
      </vt:variant>
      <vt:variant>
        <vt:i4>1048679</vt:i4>
      </vt:variant>
      <vt:variant>
        <vt:i4>6</vt:i4>
      </vt:variant>
      <vt:variant>
        <vt:i4>0</vt:i4>
      </vt:variant>
      <vt:variant>
        <vt:i4>5</vt:i4>
      </vt:variant>
      <vt:variant>
        <vt:lpwstr>http://web2.westlaw.com/find/default.wl?mt=Westlaw&amp;db=0004493&amp;tc=-1&amp;rp=%2ffind%2fdefault.wl&amp;findtype=Y&amp;ordoc=2029345501&amp;serialnum=2027351031&amp;vr=2.0&amp;fn=_top&amp;sv=Split&amp;tf=-1&amp;pbc=C1C3E923&amp;rs=WLW13.01</vt:lpwstr>
      </vt:variant>
      <vt:variant>
        <vt:lpwstr/>
      </vt:variant>
      <vt:variant>
        <vt:i4>4718689</vt:i4>
      </vt:variant>
      <vt:variant>
        <vt:i4>3</vt:i4>
      </vt:variant>
      <vt:variant>
        <vt:i4>0</vt:i4>
      </vt:variant>
      <vt:variant>
        <vt:i4>5</vt:i4>
      </vt:variant>
      <vt:variant>
        <vt:lpwstr>http://web2.westlaw.com/find/default.wl?mt=Westlaw&amp;db=0004493&amp;tc=-1&amp;rp=%2ffind%2fdefault.wl&amp;findtype=Y&amp;ordoc=2030146671&amp;serialnum=2003197721&amp;vr=2.0&amp;fn=_top&amp;sv=Split&amp;tf=-1&amp;pbc=33133162&amp;rs=WLW13.01</vt:lpwstr>
      </vt:variant>
      <vt:variant>
        <vt:lpwstr/>
      </vt:variant>
      <vt:variant>
        <vt:i4>4849770</vt:i4>
      </vt:variant>
      <vt:variant>
        <vt:i4>0</vt:i4>
      </vt:variant>
      <vt:variant>
        <vt:i4>0</vt:i4>
      </vt:variant>
      <vt:variant>
        <vt:i4>5</vt:i4>
      </vt:variant>
      <vt:variant>
        <vt:lpwstr>http://web2.westlaw.com/find/default.wl?mt=Westlaw&amp;db=0004493&amp;tc=-1&amp;rp=%2ffind%2fdefault.wl&amp;findtype=Y&amp;ordoc=2030146671&amp;serialnum=2003136688&amp;vr=2.0&amp;fn=_top&amp;sv=Split&amp;tf=-1&amp;pbc=33133162&amp;rs=WLW13.01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2013-08-14T14:19:00Z</cp:lastPrinted>
  <dcterms:created xsi:type="dcterms:W3CDTF">2013-08-19T12:10:00Z</dcterms:created>
  <dcterms:modified xsi:type="dcterms:W3CDTF">2013-08-19T12:10:00Z</dcterms:modified>
  <cp:category> </cp:category>
  <cp:contentStatus> </cp:contentStatus>
</cp:coreProperties>
</file>