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CCC0" w14:textId="73264185" w:rsidR="000544AF" w:rsidRDefault="00984B3F" w:rsidP="007061D5">
      <w:pPr>
        <w:ind w:left="7200"/>
        <w:jc w:val="right"/>
        <w:outlineLvl w:val="0"/>
        <w:rPr>
          <w:b/>
          <w:szCs w:val="22"/>
        </w:rPr>
      </w:pPr>
      <w:bookmarkStart w:id="0" w:name="_GoBack"/>
      <w:bookmarkEnd w:id="0"/>
      <w:r>
        <w:rPr>
          <w:b/>
          <w:szCs w:val="22"/>
        </w:rPr>
        <w:t>DA 1</w:t>
      </w:r>
      <w:r w:rsidR="00507F98">
        <w:rPr>
          <w:b/>
          <w:szCs w:val="22"/>
        </w:rPr>
        <w:t>3</w:t>
      </w:r>
      <w:r w:rsidR="00ED731E">
        <w:rPr>
          <w:b/>
          <w:szCs w:val="22"/>
        </w:rPr>
        <w:t>-</w:t>
      </w:r>
      <w:r w:rsidR="00A41BEC">
        <w:rPr>
          <w:b/>
          <w:szCs w:val="22"/>
        </w:rPr>
        <w:t>1320</w:t>
      </w:r>
    </w:p>
    <w:p w14:paraId="0D96B7C5" w14:textId="7BE5794D" w:rsidR="000544AF" w:rsidRDefault="00507F98" w:rsidP="00DA16EB">
      <w:pPr>
        <w:pStyle w:val="BodyTextIndent2"/>
        <w:spacing w:before="0"/>
        <w:ind w:left="0"/>
        <w:jc w:val="right"/>
        <w:outlineLvl w:val="0"/>
        <w:rPr>
          <w:szCs w:val="22"/>
        </w:rPr>
      </w:pPr>
      <w:r>
        <w:rPr>
          <w:szCs w:val="22"/>
        </w:rPr>
        <w:t xml:space="preserve">Released:  </w:t>
      </w:r>
      <w:r w:rsidR="0005565D">
        <w:rPr>
          <w:szCs w:val="22"/>
        </w:rPr>
        <w:t>June 7</w:t>
      </w:r>
      <w:r w:rsidR="000544AF">
        <w:rPr>
          <w:szCs w:val="22"/>
        </w:rPr>
        <w:t>, 201</w:t>
      </w:r>
      <w:r>
        <w:rPr>
          <w:szCs w:val="22"/>
        </w:rPr>
        <w:t>3</w:t>
      </w:r>
    </w:p>
    <w:p w14:paraId="6A14C81F" w14:textId="77777777" w:rsidR="000544AF" w:rsidRDefault="000544AF">
      <w:pPr>
        <w:pStyle w:val="BodyTextIndent2"/>
        <w:ind w:left="0"/>
        <w:outlineLvl w:val="0"/>
      </w:pPr>
      <w:r>
        <w:tab/>
      </w:r>
      <w:r>
        <w:tab/>
      </w:r>
      <w:r>
        <w:tab/>
      </w:r>
      <w:r>
        <w:tab/>
      </w:r>
      <w:r>
        <w:tab/>
      </w:r>
      <w:r>
        <w:tab/>
      </w:r>
      <w:r>
        <w:tab/>
      </w:r>
      <w:r>
        <w:tab/>
      </w:r>
      <w:r>
        <w:tab/>
      </w:r>
    </w:p>
    <w:p w14:paraId="3A4E3902" w14:textId="77777777" w:rsidR="00ED731E" w:rsidRDefault="000544AF" w:rsidP="001065AF">
      <w:pPr>
        <w:jc w:val="center"/>
        <w:rPr>
          <w:b/>
          <w:szCs w:val="22"/>
        </w:rPr>
      </w:pPr>
      <w:r>
        <w:rPr>
          <w:b/>
          <w:szCs w:val="22"/>
        </w:rPr>
        <w:t>WIRELINE COM</w:t>
      </w:r>
      <w:r w:rsidR="00ED731E">
        <w:rPr>
          <w:b/>
          <w:szCs w:val="22"/>
        </w:rPr>
        <w:t xml:space="preserve">PETITION BUREAU PROVIDES REQUESTED DATA </w:t>
      </w:r>
    </w:p>
    <w:p w14:paraId="65EDE335" w14:textId="77777777" w:rsidR="00313103" w:rsidRDefault="00ED731E" w:rsidP="001065AF">
      <w:pPr>
        <w:jc w:val="center"/>
        <w:rPr>
          <w:b/>
          <w:szCs w:val="22"/>
        </w:rPr>
      </w:pPr>
      <w:r>
        <w:rPr>
          <w:b/>
          <w:szCs w:val="22"/>
        </w:rPr>
        <w:t xml:space="preserve">USED IN </w:t>
      </w:r>
      <w:r w:rsidR="001065AF">
        <w:rPr>
          <w:b/>
          <w:szCs w:val="22"/>
        </w:rPr>
        <w:t>RATE OF RETURN REPRESCRIPTION STAFF REPORT</w:t>
      </w:r>
    </w:p>
    <w:p w14:paraId="72324E27" w14:textId="77777777" w:rsidR="000544AF" w:rsidRDefault="000544AF" w:rsidP="00A31E67">
      <w:pPr>
        <w:rPr>
          <w:b/>
          <w:szCs w:val="22"/>
        </w:rPr>
      </w:pPr>
    </w:p>
    <w:p w14:paraId="0EED2F93" w14:textId="77777777" w:rsidR="00C734FF" w:rsidRPr="00A31E67" w:rsidRDefault="00A31E67" w:rsidP="00A31E67">
      <w:pPr>
        <w:jc w:val="center"/>
        <w:rPr>
          <w:b/>
          <w:szCs w:val="22"/>
        </w:rPr>
      </w:pPr>
      <w:r>
        <w:rPr>
          <w:b/>
          <w:szCs w:val="22"/>
        </w:rPr>
        <w:t>WC Docket No. 10-90</w:t>
      </w:r>
      <w:r w:rsidR="00A06ECB">
        <w:rPr>
          <w:b/>
          <w:szCs w:val="22"/>
        </w:rPr>
        <w:t xml:space="preserve"> </w:t>
      </w:r>
    </w:p>
    <w:p w14:paraId="3C46C231" w14:textId="77777777" w:rsidR="00FF4C74" w:rsidRPr="00FC685B" w:rsidRDefault="00FA0642" w:rsidP="00C2366A">
      <w:pPr>
        <w:pStyle w:val="ParaNum"/>
        <w:numPr>
          <w:ilvl w:val="0"/>
          <w:numId w:val="0"/>
        </w:numPr>
        <w:spacing w:after="120"/>
        <w:ind w:firstLine="720"/>
        <w:jc w:val="left"/>
      </w:pPr>
      <w:r>
        <w:t xml:space="preserve">  </w:t>
      </w:r>
    </w:p>
    <w:p w14:paraId="01949697" w14:textId="77777777" w:rsidR="000544AF" w:rsidRDefault="00ED731E" w:rsidP="00ED731E">
      <w:pPr>
        <w:pStyle w:val="ParaNum"/>
        <w:numPr>
          <w:ilvl w:val="0"/>
          <w:numId w:val="0"/>
        </w:numPr>
        <w:autoSpaceDE w:val="0"/>
        <w:autoSpaceDN w:val="0"/>
        <w:adjustRightInd w:val="0"/>
        <w:spacing w:after="120"/>
        <w:ind w:firstLine="720"/>
        <w:jc w:val="left"/>
        <w:rPr>
          <w:szCs w:val="22"/>
        </w:rPr>
      </w:pPr>
      <w:r>
        <w:t>On May 16, 2013, the Wireline Competition Bureau (Bureau) released a staff report entitled “Prescribing the Authorized Rate of Return:  Analysis of Methods for Establishing Just and Reasonable Rates for Local Exchange Carriers”</w:t>
      </w:r>
      <w:r w:rsidR="001065AF">
        <w:t xml:space="preserve"> </w:t>
      </w:r>
      <w:r w:rsidR="00B111DF">
        <w:t>setting forth</w:t>
      </w:r>
      <w:r w:rsidR="00FF5CC2">
        <w:t xml:space="preserve"> the</w:t>
      </w:r>
      <w:r w:rsidR="001065AF">
        <w:t xml:space="preserve"> </w:t>
      </w:r>
      <w:r w:rsidR="00B02100">
        <w:t>data and procedures it recommends</w:t>
      </w:r>
      <w:r w:rsidR="001065AF">
        <w:t xml:space="preserve"> </w:t>
      </w:r>
      <w:r w:rsidR="00B111DF">
        <w:t>the Commission use to</w:t>
      </w:r>
      <w:r w:rsidR="001065AF">
        <w:t xml:space="preserve"> represcrib</w:t>
      </w:r>
      <w:r w:rsidR="00B111DF">
        <w:t>e</w:t>
      </w:r>
      <w:r w:rsidR="001065AF">
        <w:t xml:space="preserve"> the authorized rate of return.</w:t>
      </w:r>
      <w:r w:rsidR="001065AF">
        <w:rPr>
          <w:rStyle w:val="FootnoteReference"/>
        </w:rPr>
        <w:footnoteReference w:id="1"/>
      </w:r>
      <w:r w:rsidR="001065AF">
        <w:t xml:space="preserve">  </w:t>
      </w:r>
      <w:r w:rsidR="00B02100">
        <w:t xml:space="preserve">Based upon </w:t>
      </w:r>
      <w:r w:rsidR="00FA71EF">
        <w:t>the staff</w:t>
      </w:r>
      <w:r w:rsidR="00B02100">
        <w:t xml:space="preserve"> analysis of 16 publicly-traded incumbent LECs, using </w:t>
      </w:r>
      <w:r w:rsidR="00853284">
        <w:t xml:space="preserve">various analytical methods and sources of </w:t>
      </w:r>
      <w:r w:rsidR="00B02100">
        <w:t xml:space="preserve">publicly-available data, the </w:t>
      </w:r>
      <w:r w:rsidR="00DD1537">
        <w:t>s</w:t>
      </w:r>
      <w:r w:rsidR="003667B6">
        <w:t xml:space="preserve">taff </w:t>
      </w:r>
      <w:r w:rsidR="00DD1537">
        <w:t>r</w:t>
      </w:r>
      <w:r w:rsidR="003667B6">
        <w:t>eport identifies</w:t>
      </w:r>
      <w:r w:rsidR="00B02100">
        <w:t xml:space="preserve"> </w:t>
      </w:r>
      <w:r w:rsidR="00442A55">
        <w:t xml:space="preserve">a </w:t>
      </w:r>
      <w:r w:rsidR="00853284" w:rsidRPr="00ED3219">
        <w:rPr>
          <w:szCs w:val="22"/>
        </w:rPr>
        <w:t>zone of reasonable estimates of the weighted average cost of capital (WACC) ranging from 7.39 percent to 8.72 percent.</w:t>
      </w:r>
      <w:r w:rsidR="00853284">
        <w:rPr>
          <w:rStyle w:val="FootnoteReference"/>
          <w:szCs w:val="22"/>
        </w:rPr>
        <w:footnoteReference w:id="2"/>
      </w:r>
      <w:r w:rsidR="00853284" w:rsidRPr="00ED3219">
        <w:rPr>
          <w:szCs w:val="22"/>
        </w:rPr>
        <w:t xml:space="preserve">  </w:t>
      </w:r>
      <w:r w:rsidR="00FA71EF">
        <w:rPr>
          <w:szCs w:val="22"/>
        </w:rPr>
        <w:t>This</w:t>
      </w:r>
      <w:r w:rsidR="00853284" w:rsidRPr="00ED3219">
        <w:rPr>
          <w:szCs w:val="22"/>
        </w:rPr>
        <w:t xml:space="preserve"> zone of reasonable estimates reflects, among other things, different estimates of the cost of equity produced us</w:t>
      </w:r>
      <w:r w:rsidR="001F28EB" w:rsidRPr="00ED3219">
        <w:rPr>
          <w:szCs w:val="22"/>
        </w:rPr>
        <w:t xml:space="preserve">ing </w:t>
      </w:r>
      <w:r w:rsidR="00853284" w:rsidRPr="00ED3219">
        <w:rPr>
          <w:szCs w:val="22"/>
        </w:rPr>
        <w:t>the Capital Asset Pricing Model and the Discounted Cash Flow Model</w:t>
      </w:r>
      <w:r w:rsidR="00FF5CC2">
        <w:rPr>
          <w:szCs w:val="22"/>
        </w:rPr>
        <w:t>.  The Bureau sought comment on data, analysis and recommendations contained in the staff report.</w:t>
      </w:r>
      <w:r w:rsidR="00FF5CC2">
        <w:rPr>
          <w:rStyle w:val="FootnoteReference"/>
          <w:szCs w:val="22"/>
        </w:rPr>
        <w:footnoteReference w:id="3"/>
      </w:r>
      <w:r w:rsidR="00ED3219" w:rsidRPr="00ED3219">
        <w:rPr>
          <w:szCs w:val="22"/>
        </w:rPr>
        <w:t xml:space="preserve">  </w:t>
      </w:r>
    </w:p>
    <w:p w14:paraId="3C61C897" w14:textId="0BE64120" w:rsidR="00A31E67" w:rsidRDefault="003D39B5" w:rsidP="00A31E67">
      <w:pPr>
        <w:pStyle w:val="ParaNum"/>
        <w:numPr>
          <w:ilvl w:val="0"/>
          <w:numId w:val="0"/>
        </w:numPr>
        <w:autoSpaceDE w:val="0"/>
        <w:autoSpaceDN w:val="0"/>
        <w:adjustRightInd w:val="0"/>
        <w:spacing w:after="120"/>
        <w:ind w:firstLine="720"/>
        <w:jc w:val="left"/>
      </w:pPr>
      <w:r>
        <w:rPr>
          <w:szCs w:val="22"/>
        </w:rPr>
        <w:t>On May 21, 201</w:t>
      </w:r>
      <w:r w:rsidR="00FF5CC2">
        <w:rPr>
          <w:szCs w:val="22"/>
        </w:rPr>
        <w:t xml:space="preserve">3, a consultant representing the National Association of State Utility Consumer Advocates (NASUCA) </w:t>
      </w:r>
      <w:r w:rsidR="00B87565">
        <w:rPr>
          <w:szCs w:val="22"/>
        </w:rPr>
        <w:t xml:space="preserve">contacted the Bureau to request access to the underlying </w:t>
      </w:r>
      <w:r w:rsidR="00B87565">
        <w:t>data used in the staff report to estimate the cost of equity using the Discounted Cash Flow model, i.e.,</w:t>
      </w:r>
      <w:r w:rsidR="00BC1085">
        <w:t xml:space="preserve"> </w:t>
      </w:r>
      <w:r w:rsidR="00AC220D">
        <w:t xml:space="preserve">the </w:t>
      </w:r>
      <w:r w:rsidR="00B87565">
        <w:t>stock prices, divi</w:t>
      </w:r>
      <w:r w:rsidR="00AC220D">
        <w:t>dends, and earnings growth forecasts</w:t>
      </w:r>
      <w:r w:rsidR="00B87565">
        <w:t xml:space="preserve">.  Although </w:t>
      </w:r>
      <w:r>
        <w:t>the underlying data are</w:t>
      </w:r>
      <w:r w:rsidR="00B87565">
        <w:t xml:space="preserve"> publ</w:t>
      </w:r>
      <w:r w:rsidR="00AC220D">
        <w:t>icly available, the earnings growth forecasts are</w:t>
      </w:r>
      <w:r>
        <w:t xml:space="preserve"> frequently updated, which could make it more</w:t>
      </w:r>
      <w:r w:rsidR="00B87565">
        <w:t xml:space="preserve"> difficult for interested parties to replicate the Bureau’s calculations</w:t>
      </w:r>
      <w:r w:rsidR="00AC220D">
        <w:t xml:space="preserve">.  </w:t>
      </w:r>
    </w:p>
    <w:p w14:paraId="0E59295E" w14:textId="77777777" w:rsidR="009877D0" w:rsidRDefault="00AC220D" w:rsidP="00E2028A">
      <w:pPr>
        <w:pStyle w:val="ParaNum"/>
        <w:numPr>
          <w:ilvl w:val="0"/>
          <w:numId w:val="0"/>
        </w:numPr>
        <w:autoSpaceDE w:val="0"/>
        <w:autoSpaceDN w:val="0"/>
        <w:adjustRightInd w:val="0"/>
        <w:spacing w:after="120"/>
        <w:ind w:firstLine="720"/>
        <w:jc w:val="left"/>
        <w:rPr>
          <w:color w:val="1F497D"/>
          <w:szCs w:val="22"/>
        </w:rPr>
      </w:pPr>
      <w:r>
        <w:t>In the interest of assisting interested parties and maintaining an open and tr</w:t>
      </w:r>
      <w:r w:rsidR="009877D0">
        <w:t xml:space="preserve">ansparent process, the </w:t>
      </w:r>
      <w:r>
        <w:t>table</w:t>
      </w:r>
      <w:r w:rsidR="009877D0">
        <w:t xml:space="preserve"> below</w:t>
      </w:r>
      <w:r>
        <w:t xml:space="preserve"> provides </w:t>
      </w:r>
      <w:r w:rsidRPr="009877D0">
        <w:rPr>
          <w:szCs w:val="22"/>
        </w:rPr>
        <w:t xml:space="preserve">the underlying data used in the staff report to estimate the cost of equity using the Discounted </w:t>
      </w:r>
      <w:r w:rsidR="009877D0" w:rsidRPr="009877D0">
        <w:rPr>
          <w:szCs w:val="22"/>
        </w:rPr>
        <w:t>Cash Flow model</w:t>
      </w:r>
      <w:r w:rsidR="009877D0" w:rsidRPr="00F83962">
        <w:rPr>
          <w:color w:val="000000" w:themeColor="text1"/>
          <w:szCs w:val="22"/>
        </w:rPr>
        <w:t>.  To the best of our knowledge, all of the data we relied on and report below was accurately transcribed, but any party that wishes to rely on this data without checking with the original source must explicitly acknowledge they are using the data as reported by the Bureau</w:t>
      </w:r>
      <w:r w:rsidR="00F83962">
        <w:rPr>
          <w:color w:val="000000" w:themeColor="text1"/>
          <w:szCs w:val="22"/>
        </w:rPr>
        <w:t>,</w:t>
      </w:r>
      <w:r w:rsidR="009877D0" w:rsidRPr="00F83962">
        <w:rPr>
          <w:color w:val="000000" w:themeColor="text1"/>
          <w:szCs w:val="22"/>
        </w:rPr>
        <w:t xml:space="preserve"> rather than </w:t>
      </w:r>
      <w:r w:rsidR="009877D0" w:rsidRPr="00F83962">
        <w:rPr>
          <w:color w:val="000000" w:themeColor="text1"/>
          <w:szCs w:val="22"/>
        </w:rPr>
        <w:lastRenderedPageBreak/>
        <w:t>directly citing to the underlying data source</w:t>
      </w:r>
      <w:r w:rsidR="009877D0">
        <w:rPr>
          <w:color w:val="1F497D"/>
          <w:szCs w:val="22"/>
        </w:rPr>
        <w:t>.</w:t>
      </w:r>
    </w:p>
    <w:p w14:paraId="0D94B84B" w14:textId="77777777" w:rsidR="00E2028A" w:rsidRPr="00E2028A" w:rsidRDefault="00E2028A" w:rsidP="00E2028A">
      <w:pPr>
        <w:pStyle w:val="ParaNum"/>
        <w:numPr>
          <w:ilvl w:val="0"/>
          <w:numId w:val="0"/>
        </w:numPr>
        <w:autoSpaceDE w:val="0"/>
        <w:autoSpaceDN w:val="0"/>
        <w:adjustRightInd w:val="0"/>
        <w:spacing w:after="120"/>
        <w:ind w:firstLine="720"/>
        <w:jc w:val="left"/>
      </w:pPr>
    </w:p>
    <w:tbl>
      <w:tblPr>
        <w:tblW w:w="8632" w:type="dxa"/>
        <w:tblInd w:w="-15" w:type="dxa"/>
        <w:tblCellMar>
          <w:left w:w="0" w:type="dxa"/>
          <w:right w:w="0" w:type="dxa"/>
        </w:tblCellMar>
        <w:tblLook w:val="04A0" w:firstRow="1" w:lastRow="0" w:firstColumn="1" w:lastColumn="0" w:noHBand="0" w:noVBand="1"/>
      </w:tblPr>
      <w:tblGrid>
        <w:gridCol w:w="1589"/>
        <w:gridCol w:w="711"/>
        <w:gridCol w:w="601"/>
        <w:gridCol w:w="1712"/>
        <w:gridCol w:w="1341"/>
        <w:gridCol w:w="1620"/>
        <w:gridCol w:w="1158"/>
      </w:tblGrid>
      <w:tr w:rsidR="00A31E67" w:rsidRPr="00A31E67" w14:paraId="3F592465" w14:textId="77777777" w:rsidTr="00A31E67">
        <w:trPr>
          <w:trHeight w:val="255"/>
        </w:trPr>
        <w:tc>
          <w:tcPr>
            <w:tcW w:w="8632" w:type="dxa"/>
            <w:gridSpan w:val="7"/>
            <w:noWrap/>
            <w:tcMar>
              <w:top w:w="0" w:type="dxa"/>
              <w:left w:w="108" w:type="dxa"/>
              <w:bottom w:w="0" w:type="dxa"/>
              <w:right w:w="108" w:type="dxa"/>
            </w:tcMar>
            <w:vAlign w:val="bottom"/>
            <w:hideMark/>
          </w:tcPr>
          <w:p w14:paraId="1D6ED11E" w14:textId="77777777" w:rsidR="00A31E67" w:rsidRPr="00A31E67" w:rsidRDefault="00A31E67">
            <w:pPr>
              <w:jc w:val="center"/>
              <w:rPr>
                <w:rFonts w:eastAsiaTheme="minorHAnsi"/>
                <w:b/>
                <w:bCs/>
                <w:szCs w:val="22"/>
                <w:u w:val="single"/>
              </w:rPr>
            </w:pPr>
            <w:bookmarkStart w:id="1" w:name="RANGE!A1:G28"/>
            <w:r w:rsidRPr="00A31E67">
              <w:rPr>
                <w:b/>
                <w:bCs/>
                <w:szCs w:val="22"/>
                <w:u w:val="single"/>
              </w:rPr>
              <w:t>Discounted Cash Flow Model Data</w:t>
            </w:r>
            <w:bookmarkEnd w:id="1"/>
            <w:r w:rsidR="00A41BEC">
              <w:rPr>
                <w:rStyle w:val="FootnoteReference"/>
                <w:b/>
                <w:bCs/>
                <w:szCs w:val="22"/>
                <w:u w:val="single"/>
              </w:rPr>
              <w:footnoteReference w:id="4"/>
            </w:r>
          </w:p>
        </w:tc>
      </w:tr>
      <w:tr w:rsidR="00A31E67" w:rsidRPr="00A31E67" w14:paraId="66D944A8" w14:textId="77777777" w:rsidTr="00A31E67">
        <w:trPr>
          <w:trHeight w:val="270"/>
        </w:trPr>
        <w:tc>
          <w:tcPr>
            <w:tcW w:w="1589" w:type="dxa"/>
            <w:tcBorders>
              <w:top w:val="nil"/>
              <w:left w:val="nil"/>
              <w:bottom w:val="single" w:sz="8" w:space="0" w:color="auto"/>
              <w:right w:val="nil"/>
            </w:tcBorders>
            <w:noWrap/>
            <w:tcMar>
              <w:top w:w="0" w:type="dxa"/>
              <w:left w:w="108" w:type="dxa"/>
              <w:bottom w:w="0" w:type="dxa"/>
              <w:right w:w="108" w:type="dxa"/>
            </w:tcMar>
            <w:vAlign w:val="bottom"/>
            <w:hideMark/>
          </w:tcPr>
          <w:p w14:paraId="59D60EE1" w14:textId="77777777" w:rsidR="00A31E67" w:rsidRPr="00A31E67" w:rsidRDefault="00A31E67">
            <w:pPr>
              <w:rPr>
                <w:rFonts w:eastAsiaTheme="minorHAnsi"/>
                <w:szCs w:val="22"/>
              </w:rPr>
            </w:pPr>
            <w:r w:rsidRPr="00A31E67">
              <w:rPr>
                <w:szCs w:val="22"/>
              </w:rPr>
              <w:t> </w:t>
            </w:r>
          </w:p>
        </w:tc>
        <w:tc>
          <w:tcPr>
            <w:tcW w:w="705" w:type="dxa"/>
            <w:tcBorders>
              <w:top w:val="nil"/>
              <w:left w:val="nil"/>
              <w:bottom w:val="single" w:sz="8" w:space="0" w:color="auto"/>
              <w:right w:val="nil"/>
            </w:tcBorders>
            <w:noWrap/>
            <w:tcMar>
              <w:top w:w="0" w:type="dxa"/>
              <w:left w:w="108" w:type="dxa"/>
              <w:bottom w:w="0" w:type="dxa"/>
              <w:right w:w="108" w:type="dxa"/>
            </w:tcMar>
            <w:vAlign w:val="bottom"/>
            <w:hideMark/>
          </w:tcPr>
          <w:p w14:paraId="0405C5ED" w14:textId="77777777" w:rsidR="00A31E67" w:rsidRPr="00A31E67" w:rsidRDefault="00A31E67">
            <w:pPr>
              <w:rPr>
                <w:rFonts w:eastAsiaTheme="minorHAnsi"/>
                <w:szCs w:val="22"/>
              </w:rPr>
            </w:pPr>
            <w:r w:rsidRPr="00A31E67">
              <w:rPr>
                <w:szCs w:val="22"/>
              </w:rPr>
              <w:t> </w:t>
            </w:r>
          </w:p>
        </w:tc>
        <w:tc>
          <w:tcPr>
            <w:tcW w:w="557" w:type="dxa"/>
            <w:tcBorders>
              <w:top w:val="nil"/>
              <w:left w:val="nil"/>
              <w:bottom w:val="single" w:sz="8" w:space="0" w:color="auto"/>
              <w:right w:val="nil"/>
            </w:tcBorders>
            <w:noWrap/>
            <w:tcMar>
              <w:top w:w="0" w:type="dxa"/>
              <w:left w:w="108" w:type="dxa"/>
              <w:bottom w:w="0" w:type="dxa"/>
              <w:right w:w="108" w:type="dxa"/>
            </w:tcMar>
            <w:vAlign w:val="bottom"/>
            <w:hideMark/>
          </w:tcPr>
          <w:p w14:paraId="6C86D60F" w14:textId="77777777" w:rsidR="00A31E67" w:rsidRPr="00A31E67" w:rsidRDefault="00A31E67">
            <w:pPr>
              <w:rPr>
                <w:rFonts w:eastAsiaTheme="minorHAnsi"/>
                <w:szCs w:val="22"/>
              </w:rPr>
            </w:pPr>
            <w:r w:rsidRPr="00A31E67">
              <w:rPr>
                <w:szCs w:val="22"/>
              </w:rPr>
              <w:t> </w:t>
            </w:r>
          </w:p>
        </w:tc>
        <w:tc>
          <w:tcPr>
            <w:tcW w:w="1712" w:type="dxa"/>
            <w:tcBorders>
              <w:top w:val="nil"/>
              <w:left w:val="nil"/>
              <w:bottom w:val="single" w:sz="8" w:space="0" w:color="auto"/>
              <w:right w:val="nil"/>
            </w:tcBorders>
            <w:noWrap/>
            <w:tcMar>
              <w:top w:w="0" w:type="dxa"/>
              <w:left w:w="108" w:type="dxa"/>
              <w:bottom w:w="0" w:type="dxa"/>
              <w:right w:w="108" w:type="dxa"/>
            </w:tcMar>
            <w:vAlign w:val="bottom"/>
            <w:hideMark/>
          </w:tcPr>
          <w:p w14:paraId="0BCEE9CD" w14:textId="77777777" w:rsidR="00A31E67" w:rsidRPr="00A31E67" w:rsidRDefault="00A31E67">
            <w:pPr>
              <w:rPr>
                <w:rFonts w:eastAsiaTheme="minorHAnsi"/>
                <w:szCs w:val="22"/>
              </w:rPr>
            </w:pPr>
            <w:r w:rsidRPr="00A31E67">
              <w:rPr>
                <w:szCs w:val="22"/>
              </w:rPr>
              <w:t> </w:t>
            </w:r>
          </w:p>
        </w:tc>
        <w:tc>
          <w:tcPr>
            <w:tcW w:w="1291" w:type="dxa"/>
            <w:tcBorders>
              <w:top w:val="nil"/>
              <w:left w:val="nil"/>
              <w:bottom w:val="single" w:sz="8" w:space="0" w:color="auto"/>
              <w:right w:val="nil"/>
            </w:tcBorders>
            <w:noWrap/>
            <w:tcMar>
              <w:top w:w="0" w:type="dxa"/>
              <w:left w:w="108" w:type="dxa"/>
              <w:bottom w:w="0" w:type="dxa"/>
              <w:right w:w="108" w:type="dxa"/>
            </w:tcMar>
            <w:vAlign w:val="bottom"/>
            <w:hideMark/>
          </w:tcPr>
          <w:p w14:paraId="1BEC03C3" w14:textId="77777777" w:rsidR="00A31E67" w:rsidRPr="00A31E67" w:rsidRDefault="00A31E67">
            <w:pPr>
              <w:rPr>
                <w:rFonts w:eastAsiaTheme="minorHAnsi"/>
                <w:szCs w:val="22"/>
              </w:rPr>
            </w:pPr>
            <w:r w:rsidRPr="00A31E67">
              <w:rPr>
                <w:szCs w:val="22"/>
              </w:rPr>
              <w:t> </w:t>
            </w:r>
          </w:p>
        </w:tc>
        <w:tc>
          <w:tcPr>
            <w:tcW w:w="1620" w:type="dxa"/>
            <w:tcBorders>
              <w:top w:val="nil"/>
              <w:left w:val="nil"/>
              <w:bottom w:val="single" w:sz="8" w:space="0" w:color="auto"/>
              <w:right w:val="nil"/>
            </w:tcBorders>
            <w:noWrap/>
            <w:tcMar>
              <w:top w:w="0" w:type="dxa"/>
              <w:left w:w="108" w:type="dxa"/>
              <w:bottom w:w="0" w:type="dxa"/>
              <w:right w:w="108" w:type="dxa"/>
            </w:tcMar>
            <w:vAlign w:val="bottom"/>
            <w:hideMark/>
          </w:tcPr>
          <w:p w14:paraId="485922B6" w14:textId="77777777" w:rsidR="00A31E67" w:rsidRPr="00A31E67" w:rsidRDefault="00A31E67">
            <w:pPr>
              <w:rPr>
                <w:rFonts w:eastAsiaTheme="minorHAnsi"/>
                <w:szCs w:val="22"/>
              </w:rPr>
            </w:pPr>
            <w:r w:rsidRPr="00A31E67">
              <w:rPr>
                <w:szCs w:val="22"/>
              </w:rPr>
              <w:t> </w:t>
            </w:r>
          </w:p>
        </w:tc>
        <w:tc>
          <w:tcPr>
            <w:tcW w:w="1158" w:type="dxa"/>
            <w:tcBorders>
              <w:top w:val="nil"/>
              <w:left w:val="nil"/>
              <w:bottom w:val="single" w:sz="8" w:space="0" w:color="auto"/>
              <w:right w:val="nil"/>
            </w:tcBorders>
            <w:noWrap/>
            <w:tcMar>
              <w:top w:w="0" w:type="dxa"/>
              <w:left w:w="108" w:type="dxa"/>
              <w:bottom w:w="0" w:type="dxa"/>
              <w:right w:w="108" w:type="dxa"/>
            </w:tcMar>
            <w:vAlign w:val="bottom"/>
            <w:hideMark/>
          </w:tcPr>
          <w:p w14:paraId="1E9575EA" w14:textId="77777777" w:rsidR="00A31E67" w:rsidRPr="00A31E67" w:rsidRDefault="00A31E67">
            <w:pPr>
              <w:rPr>
                <w:rFonts w:eastAsiaTheme="minorHAnsi"/>
                <w:szCs w:val="22"/>
              </w:rPr>
            </w:pPr>
            <w:r w:rsidRPr="00A31E67">
              <w:rPr>
                <w:szCs w:val="22"/>
              </w:rPr>
              <w:t> </w:t>
            </w:r>
          </w:p>
        </w:tc>
      </w:tr>
      <w:tr w:rsidR="00A31E67" w:rsidRPr="00A31E67" w14:paraId="0F6E37A3" w14:textId="77777777" w:rsidTr="00A31E67">
        <w:trPr>
          <w:trHeight w:val="323"/>
        </w:trPr>
        <w:tc>
          <w:tcPr>
            <w:tcW w:w="158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82BD924" w14:textId="77777777" w:rsidR="00A31E67" w:rsidRPr="00A31E67" w:rsidRDefault="00A31E67">
            <w:pPr>
              <w:jc w:val="center"/>
              <w:rPr>
                <w:rFonts w:eastAsiaTheme="minorHAnsi"/>
                <w:b/>
                <w:bCs/>
                <w:color w:val="000000"/>
                <w:szCs w:val="22"/>
              </w:rPr>
            </w:pPr>
            <w:r w:rsidRPr="00A31E67">
              <w:rPr>
                <w:b/>
                <w:bCs/>
                <w:color w:val="000000"/>
                <w:szCs w:val="22"/>
              </w:rPr>
              <w:t>Carrier</w:t>
            </w:r>
          </w:p>
        </w:tc>
        <w:tc>
          <w:tcPr>
            <w:tcW w:w="705" w:type="dxa"/>
            <w:tcBorders>
              <w:top w:val="nil"/>
              <w:left w:val="nil"/>
              <w:bottom w:val="nil"/>
              <w:right w:val="single" w:sz="8" w:space="0" w:color="auto"/>
            </w:tcBorders>
            <w:noWrap/>
            <w:tcMar>
              <w:top w:w="0" w:type="dxa"/>
              <w:left w:w="108" w:type="dxa"/>
              <w:bottom w:w="0" w:type="dxa"/>
              <w:right w:w="108" w:type="dxa"/>
            </w:tcMar>
            <w:vAlign w:val="bottom"/>
            <w:hideMark/>
          </w:tcPr>
          <w:p w14:paraId="05361A71" w14:textId="77777777" w:rsidR="00A31E67" w:rsidRPr="00A31E67" w:rsidRDefault="00A31E67">
            <w:pPr>
              <w:jc w:val="center"/>
              <w:rPr>
                <w:rFonts w:eastAsiaTheme="minorHAnsi"/>
                <w:b/>
                <w:bCs/>
                <w:color w:val="000000"/>
                <w:szCs w:val="22"/>
              </w:rPr>
            </w:pPr>
            <w:r w:rsidRPr="00A31E67">
              <w:rPr>
                <w:b/>
                <w:bCs/>
                <w:color w:val="000000"/>
                <w:szCs w:val="22"/>
              </w:rPr>
              <w:t>P</w:t>
            </w:r>
            <w:r w:rsidRPr="00A31E67">
              <w:rPr>
                <w:b/>
                <w:bCs/>
                <w:color w:val="000000"/>
                <w:szCs w:val="22"/>
                <w:vertAlign w:val="subscript"/>
              </w:rPr>
              <w:t>0</w:t>
            </w:r>
          </w:p>
        </w:tc>
        <w:tc>
          <w:tcPr>
            <w:tcW w:w="557" w:type="dxa"/>
            <w:tcBorders>
              <w:top w:val="nil"/>
              <w:left w:val="nil"/>
              <w:bottom w:val="nil"/>
              <w:right w:val="single" w:sz="8" w:space="0" w:color="auto"/>
            </w:tcBorders>
            <w:noWrap/>
            <w:tcMar>
              <w:top w:w="0" w:type="dxa"/>
              <w:left w:w="108" w:type="dxa"/>
              <w:bottom w:w="0" w:type="dxa"/>
              <w:right w:w="108" w:type="dxa"/>
            </w:tcMar>
            <w:vAlign w:val="bottom"/>
            <w:hideMark/>
          </w:tcPr>
          <w:p w14:paraId="07A104CC" w14:textId="77777777" w:rsidR="00A31E67" w:rsidRPr="00A31E67" w:rsidRDefault="00A31E67">
            <w:pPr>
              <w:jc w:val="center"/>
              <w:rPr>
                <w:rFonts w:eastAsiaTheme="minorHAnsi"/>
                <w:b/>
                <w:bCs/>
                <w:color w:val="000000"/>
                <w:szCs w:val="22"/>
              </w:rPr>
            </w:pPr>
            <w:r w:rsidRPr="00A31E67">
              <w:rPr>
                <w:b/>
                <w:bCs/>
                <w:color w:val="000000"/>
                <w:szCs w:val="22"/>
              </w:rPr>
              <w:t>D</w:t>
            </w:r>
            <w:r w:rsidRPr="00A31E67">
              <w:rPr>
                <w:b/>
                <w:bCs/>
                <w:color w:val="000000"/>
                <w:szCs w:val="22"/>
                <w:vertAlign w:val="subscript"/>
              </w:rPr>
              <w:t xml:space="preserve">0 </w:t>
            </w:r>
          </w:p>
        </w:tc>
        <w:tc>
          <w:tcPr>
            <w:tcW w:w="1712" w:type="dxa"/>
            <w:tcBorders>
              <w:top w:val="nil"/>
              <w:left w:val="nil"/>
              <w:bottom w:val="nil"/>
              <w:right w:val="single" w:sz="8" w:space="0" w:color="auto"/>
            </w:tcBorders>
            <w:noWrap/>
            <w:tcMar>
              <w:top w:w="0" w:type="dxa"/>
              <w:left w:w="108" w:type="dxa"/>
              <w:bottom w:w="0" w:type="dxa"/>
              <w:right w:w="108" w:type="dxa"/>
            </w:tcMar>
            <w:vAlign w:val="bottom"/>
            <w:hideMark/>
          </w:tcPr>
          <w:p w14:paraId="4741ABE0" w14:textId="77777777" w:rsidR="00A31E67" w:rsidRPr="00A31E67" w:rsidRDefault="00A31E67">
            <w:pPr>
              <w:jc w:val="center"/>
              <w:rPr>
                <w:rFonts w:eastAsiaTheme="minorHAnsi"/>
                <w:b/>
                <w:bCs/>
                <w:color w:val="000000"/>
                <w:szCs w:val="22"/>
              </w:rPr>
            </w:pPr>
            <w:r w:rsidRPr="00A31E67">
              <w:rPr>
                <w:b/>
                <w:bCs/>
                <w:color w:val="000000"/>
                <w:szCs w:val="22"/>
              </w:rPr>
              <w:t>Yahoo! Finance</w:t>
            </w:r>
          </w:p>
        </w:tc>
        <w:tc>
          <w:tcPr>
            <w:tcW w:w="1291" w:type="dxa"/>
            <w:tcBorders>
              <w:top w:val="nil"/>
              <w:left w:val="nil"/>
              <w:bottom w:val="nil"/>
              <w:right w:val="single" w:sz="8" w:space="0" w:color="auto"/>
            </w:tcBorders>
            <w:noWrap/>
            <w:tcMar>
              <w:top w:w="0" w:type="dxa"/>
              <w:left w:w="108" w:type="dxa"/>
              <w:bottom w:w="0" w:type="dxa"/>
              <w:right w:w="108" w:type="dxa"/>
            </w:tcMar>
            <w:vAlign w:val="bottom"/>
            <w:hideMark/>
          </w:tcPr>
          <w:p w14:paraId="3D6B78D5" w14:textId="77777777" w:rsidR="00A31E67" w:rsidRPr="00A31E67" w:rsidRDefault="00A31E67">
            <w:pPr>
              <w:jc w:val="center"/>
              <w:rPr>
                <w:rFonts w:eastAsiaTheme="minorHAnsi"/>
                <w:b/>
                <w:bCs/>
                <w:color w:val="000000"/>
                <w:szCs w:val="22"/>
              </w:rPr>
            </w:pPr>
            <w:r w:rsidRPr="00A31E67">
              <w:rPr>
                <w:b/>
                <w:bCs/>
                <w:color w:val="000000"/>
                <w:szCs w:val="22"/>
              </w:rPr>
              <w:t xml:space="preserve">CNNMoney </w:t>
            </w:r>
          </w:p>
        </w:tc>
        <w:tc>
          <w:tcPr>
            <w:tcW w:w="1620" w:type="dxa"/>
            <w:tcBorders>
              <w:top w:val="nil"/>
              <w:left w:val="nil"/>
              <w:bottom w:val="nil"/>
              <w:right w:val="single" w:sz="8" w:space="0" w:color="auto"/>
            </w:tcBorders>
            <w:noWrap/>
            <w:tcMar>
              <w:top w:w="0" w:type="dxa"/>
              <w:left w:w="108" w:type="dxa"/>
              <w:bottom w:w="0" w:type="dxa"/>
              <w:right w:w="108" w:type="dxa"/>
            </w:tcMar>
            <w:vAlign w:val="bottom"/>
            <w:hideMark/>
          </w:tcPr>
          <w:p w14:paraId="5F074FA8" w14:textId="77777777" w:rsidR="00A31E67" w:rsidRPr="00A31E67" w:rsidRDefault="00A31E67">
            <w:pPr>
              <w:jc w:val="center"/>
              <w:rPr>
                <w:rFonts w:eastAsiaTheme="minorHAnsi"/>
                <w:b/>
                <w:bCs/>
                <w:color w:val="000000"/>
                <w:szCs w:val="22"/>
              </w:rPr>
            </w:pPr>
            <w:r w:rsidRPr="00A31E67">
              <w:rPr>
                <w:b/>
                <w:bCs/>
                <w:color w:val="000000"/>
                <w:szCs w:val="22"/>
              </w:rPr>
              <w:t xml:space="preserve">Reuters </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3687B66D" w14:textId="77777777" w:rsidR="00A31E67" w:rsidRPr="00A31E67" w:rsidRDefault="00A31E67">
            <w:pPr>
              <w:jc w:val="center"/>
              <w:rPr>
                <w:rFonts w:eastAsiaTheme="minorHAnsi"/>
                <w:b/>
                <w:bCs/>
                <w:color w:val="000000"/>
                <w:szCs w:val="22"/>
              </w:rPr>
            </w:pPr>
            <w:r w:rsidRPr="00A31E67">
              <w:rPr>
                <w:b/>
                <w:bCs/>
                <w:color w:val="000000"/>
                <w:szCs w:val="22"/>
              </w:rPr>
              <w:t>Zacks</w:t>
            </w:r>
          </w:p>
        </w:tc>
      </w:tr>
      <w:tr w:rsidR="00A31E67" w:rsidRPr="00A31E67" w14:paraId="04BA77F0" w14:textId="77777777" w:rsidTr="00A31E67">
        <w:trPr>
          <w:trHeight w:val="315"/>
        </w:trPr>
        <w:tc>
          <w:tcPr>
            <w:tcW w:w="15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5918FF" w14:textId="77777777" w:rsidR="00A31E67" w:rsidRPr="00A31E67" w:rsidRDefault="00A31E67">
            <w:pPr>
              <w:jc w:val="center"/>
              <w:rPr>
                <w:rFonts w:eastAsiaTheme="minorHAnsi"/>
                <w:b/>
                <w:bCs/>
                <w:color w:val="000000"/>
                <w:szCs w:val="22"/>
              </w:rPr>
            </w:pPr>
            <w:r w:rsidRPr="00A31E67">
              <w:rPr>
                <w:b/>
                <w:bCs/>
                <w:color w:val="000000"/>
                <w:szCs w:val="22"/>
              </w:rPr>
              <w:t> </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0ABA0" w14:textId="77777777" w:rsidR="00A31E67" w:rsidRPr="00A31E67" w:rsidRDefault="00A31E67">
            <w:pPr>
              <w:jc w:val="center"/>
              <w:rPr>
                <w:rFonts w:eastAsiaTheme="minorHAnsi"/>
                <w:b/>
                <w:bCs/>
                <w:color w:val="000000"/>
                <w:szCs w:val="22"/>
              </w:rPr>
            </w:pPr>
            <w:r w:rsidRPr="00A31E67">
              <w:rPr>
                <w:b/>
                <w:bCs/>
                <w:color w:val="000000"/>
                <w:szCs w:val="22"/>
              </w:rPr>
              <w:t> </w:t>
            </w:r>
          </w:p>
        </w:tc>
        <w:tc>
          <w:tcPr>
            <w:tcW w:w="557" w:type="dxa"/>
            <w:tcBorders>
              <w:top w:val="nil"/>
              <w:left w:val="nil"/>
              <w:bottom w:val="single" w:sz="8" w:space="0" w:color="auto"/>
              <w:right w:val="nil"/>
            </w:tcBorders>
            <w:noWrap/>
            <w:tcMar>
              <w:top w:w="0" w:type="dxa"/>
              <w:left w:w="108" w:type="dxa"/>
              <w:bottom w:w="0" w:type="dxa"/>
              <w:right w:w="108" w:type="dxa"/>
            </w:tcMar>
            <w:vAlign w:val="bottom"/>
            <w:hideMark/>
          </w:tcPr>
          <w:p w14:paraId="236513C9" w14:textId="77777777" w:rsidR="00A31E67" w:rsidRPr="00A31E67" w:rsidRDefault="00A31E67">
            <w:pPr>
              <w:jc w:val="center"/>
              <w:rPr>
                <w:rFonts w:eastAsiaTheme="minorHAnsi"/>
                <w:b/>
                <w:bCs/>
                <w:color w:val="000000"/>
                <w:szCs w:val="22"/>
              </w:rPr>
            </w:pPr>
            <w:r w:rsidRPr="00A31E67">
              <w:rPr>
                <w:b/>
                <w:bCs/>
                <w:color w:val="000000"/>
                <w:szCs w:val="22"/>
              </w:rPr>
              <w:t> </w:t>
            </w:r>
          </w:p>
        </w:tc>
        <w:tc>
          <w:tcPr>
            <w:tcW w:w="17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B4C6D4" w14:textId="77777777" w:rsidR="00A31E67" w:rsidRPr="00A31E67" w:rsidRDefault="00A31E67">
            <w:pPr>
              <w:jc w:val="center"/>
              <w:rPr>
                <w:rFonts w:eastAsiaTheme="minorHAnsi"/>
                <w:b/>
                <w:bCs/>
                <w:color w:val="000000"/>
                <w:szCs w:val="22"/>
              </w:rPr>
            </w:pPr>
            <w:r w:rsidRPr="00A31E67">
              <w:rPr>
                <w:b/>
                <w:bCs/>
                <w:color w:val="000000"/>
                <w:szCs w:val="22"/>
              </w:rPr>
              <w:t xml:space="preserve">5-Year "g" </w:t>
            </w:r>
          </w:p>
        </w:tc>
        <w:tc>
          <w:tcPr>
            <w:tcW w:w="12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CB7C9" w14:textId="77777777" w:rsidR="00A31E67" w:rsidRPr="00A31E67" w:rsidRDefault="00A31E67">
            <w:pPr>
              <w:jc w:val="center"/>
              <w:rPr>
                <w:rFonts w:eastAsiaTheme="minorHAnsi"/>
                <w:b/>
                <w:bCs/>
                <w:color w:val="000000"/>
                <w:szCs w:val="22"/>
              </w:rPr>
            </w:pPr>
            <w:r w:rsidRPr="00A31E67">
              <w:rPr>
                <w:b/>
                <w:bCs/>
                <w:color w:val="000000"/>
                <w:szCs w:val="22"/>
              </w:rPr>
              <w:t>5-Year "g"</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639520" w14:textId="77777777" w:rsidR="00A31E67" w:rsidRPr="00A31E67" w:rsidRDefault="00A31E67">
            <w:pPr>
              <w:jc w:val="center"/>
              <w:rPr>
                <w:rFonts w:eastAsiaTheme="minorHAnsi"/>
                <w:b/>
                <w:bCs/>
                <w:color w:val="000000"/>
                <w:szCs w:val="22"/>
              </w:rPr>
            </w:pPr>
            <w:r w:rsidRPr="00A31E67">
              <w:rPr>
                <w:b/>
                <w:bCs/>
                <w:color w:val="000000"/>
                <w:szCs w:val="22"/>
              </w:rPr>
              <w:t>Long-Term "g"</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5CD741" w14:textId="77777777" w:rsidR="00A31E67" w:rsidRPr="00A31E67" w:rsidRDefault="00A31E67">
            <w:pPr>
              <w:jc w:val="center"/>
              <w:rPr>
                <w:rFonts w:eastAsiaTheme="minorHAnsi"/>
                <w:b/>
                <w:bCs/>
                <w:color w:val="000000"/>
                <w:szCs w:val="22"/>
              </w:rPr>
            </w:pPr>
            <w:r w:rsidRPr="00A31E67">
              <w:rPr>
                <w:b/>
                <w:bCs/>
                <w:color w:val="000000"/>
                <w:szCs w:val="22"/>
              </w:rPr>
              <w:t>5-Year "g"</w:t>
            </w:r>
          </w:p>
        </w:tc>
      </w:tr>
      <w:tr w:rsidR="00A31E67" w:rsidRPr="00A31E67" w14:paraId="141D546D"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0097E2D2" w14:textId="77777777" w:rsidR="00A31E67" w:rsidRPr="00A31E67" w:rsidRDefault="00A31E67">
            <w:pPr>
              <w:rPr>
                <w:rFonts w:eastAsiaTheme="minorHAnsi"/>
                <w:szCs w:val="22"/>
              </w:rPr>
            </w:pPr>
            <w:r w:rsidRPr="00A31E67">
              <w:rPr>
                <w:szCs w:val="22"/>
              </w:rPr>
              <w:t>Consolidated</w:t>
            </w:r>
          </w:p>
        </w:tc>
        <w:tc>
          <w:tcPr>
            <w:tcW w:w="705" w:type="dxa"/>
            <w:noWrap/>
            <w:tcMar>
              <w:top w:w="0" w:type="dxa"/>
              <w:left w:w="108" w:type="dxa"/>
              <w:bottom w:w="0" w:type="dxa"/>
              <w:right w:w="108" w:type="dxa"/>
            </w:tcMar>
            <w:vAlign w:val="bottom"/>
            <w:hideMark/>
          </w:tcPr>
          <w:p w14:paraId="5DE54FB7" w14:textId="77777777" w:rsidR="00A31E67" w:rsidRPr="00A31E67" w:rsidRDefault="00A31E67">
            <w:pPr>
              <w:jc w:val="center"/>
              <w:rPr>
                <w:rFonts w:eastAsiaTheme="minorHAnsi"/>
                <w:szCs w:val="22"/>
              </w:rPr>
            </w:pPr>
            <w:r w:rsidRPr="00A31E67">
              <w:rPr>
                <w:szCs w:val="22"/>
              </w:rPr>
              <w:t>17.79</w:t>
            </w:r>
          </w:p>
        </w:tc>
        <w:tc>
          <w:tcPr>
            <w:tcW w:w="557" w:type="dxa"/>
            <w:noWrap/>
            <w:tcMar>
              <w:top w:w="0" w:type="dxa"/>
              <w:left w:w="108" w:type="dxa"/>
              <w:bottom w:w="0" w:type="dxa"/>
              <w:right w:w="108" w:type="dxa"/>
            </w:tcMar>
            <w:vAlign w:val="bottom"/>
            <w:hideMark/>
          </w:tcPr>
          <w:p w14:paraId="413006B3" w14:textId="77777777" w:rsidR="00A31E67" w:rsidRPr="00A31E67" w:rsidRDefault="00A31E67">
            <w:pPr>
              <w:jc w:val="center"/>
              <w:rPr>
                <w:rFonts w:eastAsiaTheme="minorHAnsi"/>
                <w:szCs w:val="22"/>
              </w:rPr>
            </w:pPr>
            <w:r w:rsidRPr="00A31E67">
              <w:rPr>
                <w:szCs w:val="22"/>
              </w:rPr>
              <w:t>1.55</w:t>
            </w:r>
          </w:p>
        </w:tc>
        <w:tc>
          <w:tcPr>
            <w:tcW w:w="1712" w:type="dxa"/>
            <w:noWrap/>
            <w:tcMar>
              <w:top w:w="0" w:type="dxa"/>
              <w:left w:w="108" w:type="dxa"/>
              <w:bottom w:w="0" w:type="dxa"/>
              <w:right w:w="108" w:type="dxa"/>
            </w:tcMar>
            <w:vAlign w:val="bottom"/>
            <w:hideMark/>
          </w:tcPr>
          <w:p w14:paraId="6A7DE2E2" w14:textId="77777777" w:rsidR="00A31E67" w:rsidRPr="00A31E67" w:rsidRDefault="00A31E67">
            <w:pPr>
              <w:jc w:val="center"/>
              <w:rPr>
                <w:rFonts w:eastAsiaTheme="minorHAnsi"/>
                <w:szCs w:val="22"/>
              </w:rPr>
            </w:pPr>
            <w:r w:rsidRPr="00A31E67">
              <w:rPr>
                <w:szCs w:val="22"/>
              </w:rPr>
              <w:t>0.0200</w:t>
            </w:r>
          </w:p>
        </w:tc>
        <w:tc>
          <w:tcPr>
            <w:tcW w:w="1291" w:type="dxa"/>
            <w:noWrap/>
            <w:tcMar>
              <w:top w:w="0" w:type="dxa"/>
              <w:left w:w="108" w:type="dxa"/>
              <w:bottom w:w="0" w:type="dxa"/>
              <w:right w:w="108" w:type="dxa"/>
            </w:tcMar>
            <w:vAlign w:val="bottom"/>
            <w:hideMark/>
          </w:tcPr>
          <w:p w14:paraId="7A75DA7B" w14:textId="77777777" w:rsidR="00A31E67" w:rsidRPr="00A31E67" w:rsidRDefault="00A31E67">
            <w:pPr>
              <w:jc w:val="center"/>
              <w:rPr>
                <w:rFonts w:eastAsiaTheme="minorHAnsi"/>
                <w:szCs w:val="22"/>
              </w:rPr>
            </w:pPr>
            <w:r w:rsidRPr="00A31E67">
              <w:rPr>
                <w:szCs w:val="22"/>
              </w:rPr>
              <w:t>0.0200</w:t>
            </w:r>
          </w:p>
        </w:tc>
        <w:tc>
          <w:tcPr>
            <w:tcW w:w="1620" w:type="dxa"/>
            <w:noWrap/>
            <w:tcMar>
              <w:top w:w="0" w:type="dxa"/>
              <w:left w:w="108" w:type="dxa"/>
              <w:bottom w:w="0" w:type="dxa"/>
              <w:right w:w="108" w:type="dxa"/>
            </w:tcMar>
            <w:vAlign w:val="bottom"/>
            <w:hideMark/>
          </w:tcPr>
          <w:p w14:paraId="164B8D7B" w14:textId="77777777" w:rsidR="00A31E67" w:rsidRPr="00A31E67" w:rsidRDefault="00A31E67">
            <w:pPr>
              <w:jc w:val="center"/>
              <w:rPr>
                <w:rFonts w:eastAsiaTheme="minorHAnsi"/>
                <w:szCs w:val="22"/>
              </w:rPr>
            </w:pPr>
            <w:r w:rsidRPr="00A31E67">
              <w:rPr>
                <w:szCs w:val="22"/>
              </w:rPr>
              <w:t>0.0200</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6B7F77A1" w14:textId="77777777" w:rsidR="00A31E67" w:rsidRPr="00A31E67" w:rsidRDefault="00A31E67">
            <w:pPr>
              <w:jc w:val="center"/>
              <w:rPr>
                <w:rFonts w:eastAsiaTheme="minorHAnsi"/>
                <w:szCs w:val="22"/>
              </w:rPr>
            </w:pPr>
            <w:r w:rsidRPr="00A31E67">
              <w:rPr>
                <w:szCs w:val="22"/>
              </w:rPr>
              <w:t>0.0200</w:t>
            </w:r>
          </w:p>
        </w:tc>
      </w:tr>
      <w:tr w:rsidR="00A31E67" w:rsidRPr="00A31E67" w14:paraId="0459CDF1"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443C93AB" w14:textId="77777777" w:rsidR="00A31E67" w:rsidRPr="00A31E67" w:rsidRDefault="00A31E67">
            <w:pPr>
              <w:rPr>
                <w:rFonts w:eastAsiaTheme="minorHAnsi"/>
                <w:szCs w:val="22"/>
              </w:rPr>
            </w:pPr>
            <w:r w:rsidRPr="00A31E67">
              <w:rPr>
                <w:szCs w:val="22"/>
              </w:rPr>
              <w:t>Shenandoah</w:t>
            </w:r>
          </w:p>
        </w:tc>
        <w:tc>
          <w:tcPr>
            <w:tcW w:w="705" w:type="dxa"/>
            <w:noWrap/>
            <w:tcMar>
              <w:top w:w="0" w:type="dxa"/>
              <w:left w:w="108" w:type="dxa"/>
              <w:bottom w:w="0" w:type="dxa"/>
              <w:right w:w="108" w:type="dxa"/>
            </w:tcMar>
            <w:vAlign w:val="bottom"/>
            <w:hideMark/>
          </w:tcPr>
          <w:p w14:paraId="62F9D831" w14:textId="77777777" w:rsidR="00A31E67" w:rsidRPr="00A31E67" w:rsidRDefault="00A31E67">
            <w:pPr>
              <w:jc w:val="center"/>
              <w:rPr>
                <w:rFonts w:eastAsiaTheme="minorHAnsi"/>
                <w:szCs w:val="22"/>
              </w:rPr>
            </w:pPr>
            <w:r w:rsidRPr="00A31E67">
              <w:rPr>
                <w:szCs w:val="22"/>
              </w:rPr>
              <w:t>15.36</w:t>
            </w:r>
          </w:p>
        </w:tc>
        <w:tc>
          <w:tcPr>
            <w:tcW w:w="557" w:type="dxa"/>
            <w:noWrap/>
            <w:tcMar>
              <w:top w:w="0" w:type="dxa"/>
              <w:left w:w="108" w:type="dxa"/>
              <w:bottom w:w="0" w:type="dxa"/>
              <w:right w:w="108" w:type="dxa"/>
            </w:tcMar>
            <w:vAlign w:val="bottom"/>
            <w:hideMark/>
          </w:tcPr>
          <w:p w14:paraId="25E7BE2C" w14:textId="77777777" w:rsidR="00A31E67" w:rsidRPr="00A31E67" w:rsidRDefault="00A31E67">
            <w:pPr>
              <w:jc w:val="center"/>
              <w:rPr>
                <w:rFonts w:eastAsiaTheme="minorHAnsi"/>
                <w:szCs w:val="22"/>
              </w:rPr>
            </w:pPr>
            <w:r w:rsidRPr="00A31E67">
              <w:rPr>
                <w:szCs w:val="22"/>
              </w:rPr>
              <w:t>0.33</w:t>
            </w:r>
          </w:p>
        </w:tc>
        <w:tc>
          <w:tcPr>
            <w:tcW w:w="1712" w:type="dxa"/>
            <w:noWrap/>
            <w:tcMar>
              <w:top w:w="0" w:type="dxa"/>
              <w:left w:w="108" w:type="dxa"/>
              <w:bottom w:w="0" w:type="dxa"/>
              <w:right w:w="108" w:type="dxa"/>
            </w:tcMar>
            <w:vAlign w:val="bottom"/>
            <w:hideMark/>
          </w:tcPr>
          <w:p w14:paraId="467766D1" w14:textId="77777777" w:rsidR="00A31E67" w:rsidRPr="00A31E67" w:rsidRDefault="00A31E67">
            <w:pPr>
              <w:jc w:val="center"/>
              <w:rPr>
                <w:rFonts w:eastAsiaTheme="minorHAnsi"/>
                <w:szCs w:val="22"/>
              </w:rPr>
            </w:pPr>
            <w:r w:rsidRPr="00A31E67">
              <w:rPr>
                <w:szCs w:val="22"/>
              </w:rPr>
              <w:t>0.1500</w:t>
            </w:r>
          </w:p>
        </w:tc>
        <w:tc>
          <w:tcPr>
            <w:tcW w:w="1291" w:type="dxa"/>
            <w:noWrap/>
            <w:tcMar>
              <w:top w:w="0" w:type="dxa"/>
              <w:left w:w="108" w:type="dxa"/>
              <w:bottom w:w="0" w:type="dxa"/>
              <w:right w:w="108" w:type="dxa"/>
            </w:tcMar>
            <w:vAlign w:val="bottom"/>
            <w:hideMark/>
          </w:tcPr>
          <w:p w14:paraId="6DB028AE" w14:textId="77777777" w:rsidR="00A31E67" w:rsidRPr="00A31E67" w:rsidRDefault="00A31E67">
            <w:pPr>
              <w:jc w:val="center"/>
              <w:rPr>
                <w:rFonts w:eastAsiaTheme="minorHAnsi"/>
                <w:szCs w:val="22"/>
              </w:rPr>
            </w:pPr>
            <w:r w:rsidRPr="00A31E67">
              <w:rPr>
                <w:szCs w:val="22"/>
              </w:rPr>
              <w:t>0.1300</w:t>
            </w:r>
          </w:p>
        </w:tc>
        <w:tc>
          <w:tcPr>
            <w:tcW w:w="1620" w:type="dxa"/>
            <w:noWrap/>
            <w:tcMar>
              <w:top w:w="0" w:type="dxa"/>
              <w:left w:w="108" w:type="dxa"/>
              <w:bottom w:w="0" w:type="dxa"/>
              <w:right w:w="108" w:type="dxa"/>
            </w:tcMar>
            <w:vAlign w:val="bottom"/>
            <w:hideMark/>
          </w:tcPr>
          <w:p w14:paraId="1A15835D" w14:textId="77777777" w:rsidR="00A31E67" w:rsidRPr="00A31E67" w:rsidRDefault="00A31E67">
            <w:pPr>
              <w:jc w:val="center"/>
              <w:rPr>
                <w:rFonts w:eastAsiaTheme="minorHAnsi"/>
                <w:szCs w:val="22"/>
              </w:rPr>
            </w:pPr>
            <w:r w:rsidRPr="00A31E67">
              <w:rPr>
                <w:szCs w:val="22"/>
              </w:rPr>
              <w:t>NA</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465D4CD8" w14:textId="77777777" w:rsidR="00A31E67" w:rsidRPr="00A31E67" w:rsidRDefault="00A31E67">
            <w:pPr>
              <w:jc w:val="center"/>
              <w:rPr>
                <w:rFonts w:eastAsiaTheme="minorHAnsi"/>
                <w:szCs w:val="22"/>
              </w:rPr>
            </w:pPr>
            <w:r w:rsidRPr="00A31E67">
              <w:rPr>
                <w:szCs w:val="22"/>
              </w:rPr>
              <w:t>NA</w:t>
            </w:r>
          </w:p>
        </w:tc>
      </w:tr>
      <w:tr w:rsidR="00A31E67" w:rsidRPr="00A31E67" w14:paraId="3F4AA55E"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043E575E" w14:textId="77777777" w:rsidR="00A31E67" w:rsidRPr="00A31E67" w:rsidRDefault="00A31E67">
            <w:pPr>
              <w:rPr>
                <w:rFonts w:eastAsiaTheme="minorHAnsi"/>
                <w:szCs w:val="22"/>
              </w:rPr>
            </w:pPr>
            <w:r w:rsidRPr="00A31E67">
              <w:rPr>
                <w:szCs w:val="22"/>
              </w:rPr>
              <w:t>Hickory Tech</w:t>
            </w:r>
          </w:p>
        </w:tc>
        <w:tc>
          <w:tcPr>
            <w:tcW w:w="705" w:type="dxa"/>
            <w:noWrap/>
            <w:tcMar>
              <w:top w:w="0" w:type="dxa"/>
              <w:left w:w="108" w:type="dxa"/>
              <w:bottom w:w="0" w:type="dxa"/>
              <w:right w:w="108" w:type="dxa"/>
            </w:tcMar>
            <w:vAlign w:val="bottom"/>
            <w:hideMark/>
          </w:tcPr>
          <w:p w14:paraId="66AA6931" w14:textId="77777777" w:rsidR="00A31E67" w:rsidRPr="00A31E67" w:rsidRDefault="00A31E67">
            <w:pPr>
              <w:jc w:val="center"/>
              <w:rPr>
                <w:rFonts w:eastAsiaTheme="minorHAnsi"/>
                <w:szCs w:val="22"/>
              </w:rPr>
            </w:pPr>
            <w:r w:rsidRPr="00A31E67">
              <w:rPr>
                <w:szCs w:val="22"/>
              </w:rPr>
              <w:t>10.24</w:t>
            </w:r>
          </w:p>
        </w:tc>
        <w:tc>
          <w:tcPr>
            <w:tcW w:w="557" w:type="dxa"/>
            <w:noWrap/>
            <w:tcMar>
              <w:top w:w="0" w:type="dxa"/>
              <w:left w:w="108" w:type="dxa"/>
              <w:bottom w:w="0" w:type="dxa"/>
              <w:right w:w="108" w:type="dxa"/>
            </w:tcMar>
            <w:vAlign w:val="bottom"/>
            <w:hideMark/>
          </w:tcPr>
          <w:p w14:paraId="329277E9" w14:textId="77777777" w:rsidR="00A31E67" w:rsidRPr="00A31E67" w:rsidRDefault="00A31E67">
            <w:pPr>
              <w:jc w:val="center"/>
              <w:rPr>
                <w:rFonts w:eastAsiaTheme="minorHAnsi"/>
                <w:szCs w:val="22"/>
              </w:rPr>
            </w:pPr>
            <w:r w:rsidRPr="00A31E67">
              <w:rPr>
                <w:szCs w:val="22"/>
              </w:rPr>
              <w:t>0.58</w:t>
            </w:r>
          </w:p>
        </w:tc>
        <w:tc>
          <w:tcPr>
            <w:tcW w:w="1712" w:type="dxa"/>
            <w:noWrap/>
            <w:tcMar>
              <w:top w:w="0" w:type="dxa"/>
              <w:left w:w="108" w:type="dxa"/>
              <w:bottom w:w="0" w:type="dxa"/>
              <w:right w:w="108" w:type="dxa"/>
            </w:tcMar>
            <w:vAlign w:val="bottom"/>
            <w:hideMark/>
          </w:tcPr>
          <w:p w14:paraId="380EE9D5" w14:textId="77777777" w:rsidR="00A31E67" w:rsidRPr="00A31E67" w:rsidRDefault="00A31E67">
            <w:pPr>
              <w:jc w:val="center"/>
              <w:rPr>
                <w:rFonts w:eastAsiaTheme="minorHAnsi"/>
                <w:szCs w:val="22"/>
              </w:rPr>
            </w:pPr>
            <w:r w:rsidRPr="00A31E67">
              <w:rPr>
                <w:szCs w:val="22"/>
              </w:rPr>
              <w:t>0.0380</w:t>
            </w:r>
          </w:p>
        </w:tc>
        <w:tc>
          <w:tcPr>
            <w:tcW w:w="1291" w:type="dxa"/>
            <w:noWrap/>
            <w:tcMar>
              <w:top w:w="0" w:type="dxa"/>
              <w:left w:w="108" w:type="dxa"/>
              <w:bottom w:w="0" w:type="dxa"/>
              <w:right w:w="108" w:type="dxa"/>
            </w:tcMar>
            <w:vAlign w:val="bottom"/>
            <w:hideMark/>
          </w:tcPr>
          <w:p w14:paraId="2F2D4F18" w14:textId="77777777" w:rsidR="00A31E67" w:rsidRPr="00A31E67" w:rsidRDefault="00A31E67">
            <w:pPr>
              <w:jc w:val="center"/>
              <w:rPr>
                <w:rFonts w:eastAsiaTheme="minorHAnsi"/>
                <w:szCs w:val="22"/>
              </w:rPr>
            </w:pPr>
            <w:r w:rsidRPr="00A31E67">
              <w:rPr>
                <w:szCs w:val="22"/>
              </w:rPr>
              <w:t>0.1200</w:t>
            </w:r>
          </w:p>
        </w:tc>
        <w:tc>
          <w:tcPr>
            <w:tcW w:w="1620" w:type="dxa"/>
            <w:noWrap/>
            <w:tcMar>
              <w:top w:w="0" w:type="dxa"/>
              <w:left w:w="108" w:type="dxa"/>
              <w:bottom w:w="0" w:type="dxa"/>
              <w:right w:w="108" w:type="dxa"/>
            </w:tcMar>
            <w:vAlign w:val="bottom"/>
            <w:hideMark/>
          </w:tcPr>
          <w:p w14:paraId="784026D4" w14:textId="77777777" w:rsidR="00A31E67" w:rsidRPr="00A31E67" w:rsidRDefault="00A31E67">
            <w:pPr>
              <w:jc w:val="center"/>
              <w:rPr>
                <w:rFonts w:eastAsiaTheme="minorHAnsi"/>
                <w:szCs w:val="22"/>
              </w:rPr>
            </w:pPr>
            <w:r w:rsidRPr="00A31E67">
              <w:rPr>
                <w:szCs w:val="22"/>
              </w:rPr>
              <w:t>NA</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501E8E6C" w14:textId="77777777" w:rsidR="00A31E67" w:rsidRPr="00A31E67" w:rsidRDefault="00A31E67">
            <w:pPr>
              <w:jc w:val="center"/>
              <w:rPr>
                <w:rFonts w:eastAsiaTheme="minorHAnsi"/>
                <w:szCs w:val="22"/>
              </w:rPr>
            </w:pPr>
            <w:r w:rsidRPr="00A31E67">
              <w:rPr>
                <w:szCs w:val="22"/>
              </w:rPr>
              <w:t>NA</w:t>
            </w:r>
          </w:p>
        </w:tc>
      </w:tr>
      <w:tr w:rsidR="00A31E67" w:rsidRPr="00A31E67" w14:paraId="4E994E56"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2DB6E2B6" w14:textId="77777777" w:rsidR="00A31E67" w:rsidRPr="00A31E67" w:rsidRDefault="00A31E67">
            <w:pPr>
              <w:rPr>
                <w:rFonts w:eastAsiaTheme="minorHAnsi"/>
                <w:szCs w:val="22"/>
              </w:rPr>
            </w:pPr>
            <w:r w:rsidRPr="00A31E67">
              <w:rPr>
                <w:szCs w:val="22"/>
              </w:rPr>
              <w:t>TDS</w:t>
            </w:r>
          </w:p>
        </w:tc>
        <w:tc>
          <w:tcPr>
            <w:tcW w:w="705" w:type="dxa"/>
            <w:noWrap/>
            <w:tcMar>
              <w:top w:w="0" w:type="dxa"/>
              <w:left w:w="108" w:type="dxa"/>
              <w:bottom w:w="0" w:type="dxa"/>
              <w:right w:w="108" w:type="dxa"/>
            </w:tcMar>
            <w:vAlign w:val="bottom"/>
            <w:hideMark/>
          </w:tcPr>
          <w:p w14:paraId="5C24389B" w14:textId="77777777" w:rsidR="00A31E67" w:rsidRPr="00A31E67" w:rsidRDefault="00A31E67">
            <w:pPr>
              <w:jc w:val="center"/>
              <w:rPr>
                <w:rFonts w:eastAsiaTheme="minorHAnsi"/>
                <w:szCs w:val="22"/>
              </w:rPr>
            </w:pPr>
            <w:r w:rsidRPr="00A31E67">
              <w:rPr>
                <w:szCs w:val="22"/>
              </w:rPr>
              <w:t>21.12</w:t>
            </w:r>
          </w:p>
        </w:tc>
        <w:tc>
          <w:tcPr>
            <w:tcW w:w="557" w:type="dxa"/>
            <w:noWrap/>
            <w:tcMar>
              <w:top w:w="0" w:type="dxa"/>
              <w:left w:w="108" w:type="dxa"/>
              <w:bottom w:w="0" w:type="dxa"/>
              <w:right w:w="108" w:type="dxa"/>
            </w:tcMar>
            <w:vAlign w:val="bottom"/>
            <w:hideMark/>
          </w:tcPr>
          <w:p w14:paraId="749C8000" w14:textId="77777777" w:rsidR="00A31E67" w:rsidRPr="00A31E67" w:rsidRDefault="00A31E67">
            <w:pPr>
              <w:jc w:val="center"/>
              <w:rPr>
                <w:rFonts w:eastAsiaTheme="minorHAnsi"/>
                <w:szCs w:val="22"/>
              </w:rPr>
            </w:pPr>
            <w:r w:rsidRPr="00A31E67">
              <w:rPr>
                <w:szCs w:val="22"/>
              </w:rPr>
              <w:t>0.51</w:t>
            </w:r>
          </w:p>
        </w:tc>
        <w:tc>
          <w:tcPr>
            <w:tcW w:w="1712" w:type="dxa"/>
            <w:noWrap/>
            <w:tcMar>
              <w:top w:w="0" w:type="dxa"/>
              <w:left w:w="108" w:type="dxa"/>
              <w:bottom w:w="0" w:type="dxa"/>
              <w:right w:w="108" w:type="dxa"/>
            </w:tcMar>
            <w:vAlign w:val="bottom"/>
            <w:hideMark/>
          </w:tcPr>
          <w:p w14:paraId="32E77D35" w14:textId="77777777" w:rsidR="00A31E67" w:rsidRPr="00A31E67" w:rsidRDefault="00A31E67">
            <w:pPr>
              <w:jc w:val="center"/>
              <w:rPr>
                <w:rFonts w:eastAsiaTheme="minorHAnsi"/>
                <w:szCs w:val="22"/>
              </w:rPr>
            </w:pPr>
            <w:r w:rsidRPr="00A31E67">
              <w:rPr>
                <w:szCs w:val="22"/>
              </w:rPr>
              <w:t>0.0400</w:t>
            </w:r>
          </w:p>
        </w:tc>
        <w:tc>
          <w:tcPr>
            <w:tcW w:w="1291" w:type="dxa"/>
            <w:noWrap/>
            <w:tcMar>
              <w:top w:w="0" w:type="dxa"/>
              <w:left w:w="108" w:type="dxa"/>
              <w:bottom w:w="0" w:type="dxa"/>
              <w:right w:w="108" w:type="dxa"/>
            </w:tcMar>
            <w:vAlign w:val="bottom"/>
            <w:hideMark/>
          </w:tcPr>
          <w:p w14:paraId="75BB21CF" w14:textId="77777777" w:rsidR="00A31E67" w:rsidRPr="00A31E67" w:rsidRDefault="00A31E67">
            <w:pPr>
              <w:jc w:val="center"/>
              <w:rPr>
                <w:rFonts w:eastAsiaTheme="minorHAnsi"/>
                <w:szCs w:val="22"/>
              </w:rPr>
            </w:pPr>
            <w:r w:rsidRPr="00A31E67">
              <w:rPr>
                <w:szCs w:val="22"/>
              </w:rPr>
              <w:t>0.0400</w:t>
            </w:r>
          </w:p>
        </w:tc>
        <w:tc>
          <w:tcPr>
            <w:tcW w:w="1620" w:type="dxa"/>
            <w:noWrap/>
            <w:tcMar>
              <w:top w:w="0" w:type="dxa"/>
              <w:left w:w="108" w:type="dxa"/>
              <w:bottom w:w="0" w:type="dxa"/>
              <w:right w:w="108" w:type="dxa"/>
            </w:tcMar>
            <w:vAlign w:val="bottom"/>
            <w:hideMark/>
          </w:tcPr>
          <w:p w14:paraId="270CEDF3" w14:textId="77777777" w:rsidR="00A31E67" w:rsidRPr="00A31E67" w:rsidRDefault="00A31E67">
            <w:pPr>
              <w:jc w:val="center"/>
              <w:rPr>
                <w:rFonts w:eastAsiaTheme="minorHAnsi"/>
                <w:szCs w:val="22"/>
              </w:rPr>
            </w:pPr>
            <w:r w:rsidRPr="00A31E67">
              <w:rPr>
                <w:szCs w:val="22"/>
              </w:rPr>
              <w:t>NA</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36113E8C" w14:textId="77777777" w:rsidR="00A31E67" w:rsidRPr="00A31E67" w:rsidRDefault="00A31E67">
            <w:pPr>
              <w:jc w:val="center"/>
              <w:rPr>
                <w:rFonts w:eastAsiaTheme="minorHAnsi"/>
                <w:szCs w:val="22"/>
              </w:rPr>
            </w:pPr>
            <w:r w:rsidRPr="00A31E67">
              <w:rPr>
                <w:szCs w:val="22"/>
              </w:rPr>
              <w:t>0.0400</w:t>
            </w:r>
          </w:p>
        </w:tc>
      </w:tr>
      <w:tr w:rsidR="00A31E67" w:rsidRPr="00A31E67" w14:paraId="425EBA5B"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6A5F0C09" w14:textId="77777777" w:rsidR="00A31E67" w:rsidRPr="00A31E67" w:rsidRDefault="00A31E67">
            <w:pPr>
              <w:rPr>
                <w:rFonts w:eastAsiaTheme="minorHAnsi"/>
                <w:szCs w:val="22"/>
              </w:rPr>
            </w:pPr>
            <w:r w:rsidRPr="00A31E67">
              <w:rPr>
                <w:szCs w:val="22"/>
              </w:rPr>
              <w:t>Lumos</w:t>
            </w:r>
          </w:p>
        </w:tc>
        <w:tc>
          <w:tcPr>
            <w:tcW w:w="705" w:type="dxa"/>
            <w:noWrap/>
            <w:tcMar>
              <w:top w:w="0" w:type="dxa"/>
              <w:left w:w="108" w:type="dxa"/>
              <w:bottom w:w="0" w:type="dxa"/>
              <w:right w:w="108" w:type="dxa"/>
            </w:tcMar>
            <w:vAlign w:val="bottom"/>
            <w:hideMark/>
          </w:tcPr>
          <w:p w14:paraId="5B5DAA75" w14:textId="77777777" w:rsidR="00A31E67" w:rsidRPr="00A31E67" w:rsidRDefault="00A31E67">
            <w:pPr>
              <w:jc w:val="center"/>
              <w:rPr>
                <w:rFonts w:eastAsiaTheme="minorHAnsi"/>
                <w:szCs w:val="22"/>
              </w:rPr>
            </w:pPr>
            <w:r w:rsidRPr="00A31E67">
              <w:rPr>
                <w:szCs w:val="22"/>
              </w:rPr>
              <w:t>13.01</w:t>
            </w:r>
          </w:p>
        </w:tc>
        <w:tc>
          <w:tcPr>
            <w:tcW w:w="557" w:type="dxa"/>
            <w:noWrap/>
            <w:tcMar>
              <w:top w:w="0" w:type="dxa"/>
              <w:left w:w="108" w:type="dxa"/>
              <w:bottom w:w="0" w:type="dxa"/>
              <w:right w:w="108" w:type="dxa"/>
            </w:tcMar>
            <w:vAlign w:val="bottom"/>
            <w:hideMark/>
          </w:tcPr>
          <w:p w14:paraId="336127A4" w14:textId="77777777" w:rsidR="00A31E67" w:rsidRPr="00A31E67" w:rsidRDefault="00A31E67">
            <w:pPr>
              <w:jc w:val="center"/>
              <w:rPr>
                <w:rFonts w:eastAsiaTheme="minorHAnsi"/>
                <w:szCs w:val="22"/>
              </w:rPr>
            </w:pPr>
            <w:r w:rsidRPr="00A31E67">
              <w:rPr>
                <w:szCs w:val="22"/>
              </w:rPr>
              <w:t>0.56</w:t>
            </w:r>
          </w:p>
        </w:tc>
        <w:tc>
          <w:tcPr>
            <w:tcW w:w="1712" w:type="dxa"/>
            <w:noWrap/>
            <w:tcMar>
              <w:top w:w="0" w:type="dxa"/>
              <w:left w:w="108" w:type="dxa"/>
              <w:bottom w:w="0" w:type="dxa"/>
              <w:right w:w="108" w:type="dxa"/>
            </w:tcMar>
            <w:vAlign w:val="bottom"/>
            <w:hideMark/>
          </w:tcPr>
          <w:p w14:paraId="313A8FF4" w14:textId="77777777" w:rsidR="00A31E67" w:rsidRPr="00A31E67" w:rsidRDefault="00A31E67">
            <w:pPr>
              <w:jc w:val="center"/>
              <w:rPr>
                <w:rFonts w:eastAsiaTheme="minorHAnsi"/>
                <w:szCs w:val="22"/>
              </w:rPr>
            </w:pPr>
            <w:r w:rsidRPr="00A31E67">
              <w:rPr>
                <w:szCs w:val="22"/>
              </w:rPr>
              <w:t>0.0300</w:t>
            </w:r>
          </w:p>
        </w:tc>
        <w:tc>
          <w:tcPr>
            <w:tcW w:w="1291" w:type="dxa"/>
            <w:noWrap/>
            <w:tcMar>
              <w:top w:w="0" w:type="dxa"/>
              <w:left w:w="108" w:type="dxa"/>
              <w:bottom w:w="0" w:type="dxa"/>
              <w:right w:w="108" w:type="dxa"/>
            </w:tcMar>
            <w:vAlign w:val="bottom"/>
            <w:hideMark/>
          </w:tcPr>
          <w:p w14:paraId="2EB14128" w14:textId="77777777" w:rsidR="00A31E67" w:rsidRPr="00A31E67" w:rsidRDefault="00A31E67">
            <w:pPr>
              <w:jc w:val="center"/>
              <w:rPr>
                <w:rFonts w:eastAsiaTheme="minorHAnsi"/>
                <w:szCs w:val="22"/>
              </w:rPr>
            </w:pPr>
            <w:r w:rsidRPr="00A31E67">
              <w:rPr>
                <w:szCs w:val="22"/>
              </w:rPr>
              <w:t>0.0300</w:t>
            </w:r>
          </w:p>
        </w:tc>
        <w:tc>
          <w:tcPr>
            <w:tcW w:w="1620" w:type="dxa"/>
            <w:noWrap/>
            <w:tcMar>
              <w:top w:w="0" w:type="dxa"/>
              <w:left w:w="108" w:type="dxa"/>
              <w:bottom w:w="0" w:type="dxa"/>
              <w:right w:w="108" w:type="dxa"/>
            </w:tcMar>
            <w:vAlign w:val="bottom"/>
            <w:hideMark/>
          </w:tcPr>
          <w:p w14:paraId="611D7A3D" w14:textId="77777777" w:rsidR="00A31E67" w:rsidRPr="00A31E67" w:rsidRDefault="00A31E67">
            <w:pPr>
              <w:jc w:val="center"/>
              <w:rPr>
                <w:rFonts w:eastAsiaTheme="minorHAnsi"/>
                <w:szCs w:val="22"/>
              </w:rPr>
            </w:pPr>
            <w:r w:rsidRPr="00A31E67">
              <w:rPr>
                <w:szCs w:val="22"/>
              </w:rPr>
              <w:t>NA</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42E766C7" w14:textId="77777777" w:rsidR="00A31E67" w:rsidRPr="00A31E67" w:rsidRDefault="00A31E67">
            <w:pPr>
              <w:jc w:val="center"/>
              <w:rPr>
                <w:rFonts w:eastAsiaTheme="minorHAnsi"/>
                <w:szCs w:val="22"/>
              </w:rPr>
            </w:pPr>
            <w:r w:rsidRPr="00A31E67">
              <w:rPr>
                <w:szCs w:val="22"/>
              </w:rPr>
              <w:t>0.0300</w:t>
            </w:r>
          </w:p>
        </w:tc>
      </w:tr>
      <w:tr w:rsidR="00A31E67" w:rsidRPr="00A31E67" w14:paraId="35933534"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47201BA3" w14:textId="77777777" w:rsidR="00A31E67" w:rsidRPr="00A31E67" w:rsidRDefault="00A31E67">
            <w:pPr>
              <w:rPr>
                <w:rFonts w:eastAsiaTheme="minorHAnsi"/>
                <w:szCs w:val="22"/>
              </w:rPr>
            </w:pPr>
            <w:r w:rsidRPr="00A31E67">
              <w:rPr>
                <w:szCs w:val="22"/>
              </w:rPr>
              <w:t>Windstream</w:t>
            </w:r>
          </w:p>
        </w:tc>
        <w:tc>
          <w:tcPr>
            <w:tcW w:w="705" w:type="dxa"/>
            <w:noWrap/>
            <w:tcMar>
              <w:top w:w="0" w:type="dxa"/>
              <w:left w:w="108" w:type="dxa"/>
              <w:bottom w:w="0" w:type="dxa"/>
              <w:right w:w="108" w:type="dxa"/>
            </w:tcMar>
            <w:vAlign w:val="bottom"/>
            <w:hideMark/>
          </w:tcPr>
          <w:p w14:paraId="35D1093E" w14:textId="77777777" w:rsidR="00A31E67" w:rsidRPr="00A31E67" w:rsidRDefault="00A31E67">
            <w:pPr>
              <w:jc w:val="center"/>
              <w:rPr>
                <w:rFonts w:eastAsiaTheme="minorHAnsi"/>
                <w:szCs w:val="22"/>
              </w:rPr>
            </w:pPr>
            <w:r w:rsidRPr="00A31E67">
              <w:rPr>
                <w:szCs w:val="22"/>
              </w:rPr>
              <w:t>8.14</w:t>
            </w:r>
          </w:p>
        </w:tc>
        <w:tc>
          <w:tcPr>
            <w:tcW w:w="557" w:type="dxa"/>
            <w:noWrap/>
            <w:tcMar>
              <w:top w:w="0" w:type="dxa"/>
              <w:left w:w="108" w:type="dxa"/>
              <w:bottom w:w="0" w:type="dxa"/>
              <w:right w:w="108" w:type="dxa"/>
            </w:tcMar>
            <w:vAlign w:val="bottom"/>
            <w:hideMark/>
          </w:tcPr>
          <w:p w14:paraId="2F5C5EE0" w14:textId="77777777" w:rsidR="00A31E67" w:rsidRPr="00A31E67" w:rsidRDefault="00A31E67">
            <w:pPr>
              <w:jc w:val="center"/>
              <w:rPr>
                <w:rFonts w:eastAsiaTheme="minorHAnsi"/>
                <w:szCs w:val="22"/>
              </w:rPr>
            </w:pPr>
            <w:r w:rsidRPr="00A31E67">
              <w:rPr>
                <w:szCs w:val="22"/>
              </w:rPr>
              <w:t>1.00</w:t>
            </w:r>
          </w:p>
        </w:tc>
        <w:tc>
          <w:tcPr>
            <w:tcW w:w="1712" w:type="dxa"/>
            <w:noWrap/>
            <w:tcMar>
              <w:top w:w="0" w:type="dxa"/>
              <w:left w:w="108" w:type="dxa"/>
              <w:bottom w:w="0" w:type="dxa"/>
              <w:right w:w="108" w:type="dxa"/>
            </w:tcMar>
            <w:vAlign w:val="bottom"/>
            <w:hideMark/>
          </w:tcPr>
          <w:p w14:paraId="05B07891" w14:textId="77777777" w:rsidR="00A31E67" w:rsidRPr="00A31E67" w:rsidRDefault="00A31E67">
            <w:pPr>
              <w:jc w:val="center"/>
              <w:rPr>
                <w:rFonts w:eastAsiaTheme="minorHAnsi"/>
                <w:szCs w:val="22"/>
              </w:rPr>
            </w:pPr>
            <w:r w:rsidRPr="00A31E67">
              <w:rPr>
                <w:szCs w:val="22"/>
              </w:rPr>
              <w:t>-0.1125</w:t>
            </w:r>
          </w:p>
        </w:tc>
        <w:tc>
          <w:tcPr>
            <w:tcW w:w="1291" w:type="dxa"/>
            <w:noWrap/>
            <w:tcMar>
              <w:top w:w="0" w:type="dxa"/>
              <w:left w:w="108" w:type="dxa"/>
              <w:bottom w:w="0" w:type="dxa"/>
              <w:right w:w="108" w:type="dxa"/>
            </w:tcMar>
            <w:vAlign w:val="bottom"/>
            <w:hideMark/>
          </w:tcPr>
          <w:p w14:paraId="5E0E0733" w14:textId="77777777" w:rsidR="00A31E67" w:rsidRPr="00A31E67" w:rsidRDefault="00A31E67">
            <w:pPr>
              <w:jc w:val="center"/>
              <w:rPr>
                <w:rFonts w:eastAsiaTheme="minorHAnsi"/>
                <w:szCs w:val="22"/>
              </w:rPr>
            </w:pPr>
            <w:r w:rsidRPr="00A31E67">
              <w:rPr>
                <w:szCs w:val="22"/>
              </w:rPr>
              <w:t>-0.0200</w:t>
            </w:r>
          </w:p>
        </w:tc>
        <w:tc>
          <w:tcPr>
            <w:tcW w:w="1620" w:type="dxa"/>
            <w:noWrap/>
            <w:tcMar>
              <w:top w:w="0" w:type="dxa"/>
              <w:left w:w="108" w:type="dxa"/>
              <w:bottom w:w="0" w:type="dxa"/>
              <w:right w:w="108" w:type="dxa"/>
            </w:tcMar>
            <w:vAlign w:val="bottom"/>
            <w:hideMark/>
          </w:tcPr>
          <w:p w14:paraId="5B371607" w14:textId="77777777" w:rsidR="00A31E67" w:rsidRPr="00A31E67" w:rsidRDefault="00A31E67">
            <w:pPr>
              <w:jc w:val="center"/>
              <w:rPr>
                <w:rFonts w:eastAsiaTheme="minorHAnsi"/>
                <w:szCs w:val="22"/>
              </w:rPr>
            </w:pPr>
            <w:r w:rsidRPr="00A31E67">
              <w:rPr>
                <w:szCs w:val="22"/>
              </w:rPr>
              <w:t>-0.0683</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6B54F6F6" w14:textId="77777777" w:rsidR="00A31E67" w:rsidRPr="00A31E67" w:rsidRDefault="00A31E67">
            <w:pPr>
              <w:jc w:val="center"/>
              <w:rPr>
                <w:rFonts w:eastAsiaTheme="minorHAnsi"/>
                <w:szCs w:val="22"/>
              </w:rPr>
            </w:pPr>
            <w:r w:rsidRPr="00A31E67">
              <w:rPr>
                <w:szCs w:val="22"/>
              </w:rPr>
              <w:t>0.0100</w:t>
            </w:r>
          </w:p>
        </w:tc>
      </w:tr>
      <w:tr w:rsidR="00A31E67" w:rsidRPr="00A31E67" w14:paraId="4DBBFE16"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6B6CCCDA" w14:textId="77777777" w:rsidR="00A31E67" w:rsidRPr="00A31E67" w:rsidRDefault="00A31E67">
            <w:pPr>
              <w:rPr>
                <w:rFonts w:eastAsiaTheme="minorHAnsi"/>
                <w:szCs w:val="22"/>
              </w:rPr>
            </w:pPr>
            <w:r w:rsidRPr="00A31E67">
              <w:rPr>
                <w:szCs w:val="22"/>
              </w:rPr>
              <w:t>Alaska</w:t>
            </w:r>
          </w:p>
        </w:tc>
        <w:tc>
          <w:tcPr>
            <w:tcW w:w="705" w:type="dxa"/>
            <w:noWrap/>
            <w:tcMar>
              <w:top w:w="0" w:type="dxa"/>
              <w:left w:w="108" w:type="dxa"/>
              <w:bottom w:w="0" w:type="dxa"/>
              <w:right w:w="108" w:type="dxa"/>
            </w:tcMar>
            <w:vAlign w:val="bottom"/>
            <w:hideMark/>
          </w:tcPr>
          <w:p w14:paraId="47FBB38B" w14:textId="77777777" w:rsidR="00A31E67" w:rsidRPr="00A31E67" w:rsidRDefault="00A31E67">
            <w:pPr>
              <w:jc w:val="center"/>
              <w:rPr>
                <w:rFonts w:eastAsiaTheme="minorHAnsi"/>
                <w:szCs w:val="22"/>
              </w:rPr>
            </w:pPr>
            <w:r w:rsidRPr="00A31E67">
              <w:rPr>
                <w:szCs w:val="22"/>
              </w:rPr>
              <w:t>1.62</w:t>
            </w:r>
          </w:p>
        </w:tc>
        <w:tc>
          <w:tcPr>
            <w:tcW w:w="557" w:type="dxa"/>
            <w:noWrap/>
            <w:tcMar>
              <w:top w:w="0" w:type="dxa"/>
              <w:left w:w="108" w:type="dxa"/>
              <w:bottom w:w="0" w:type="dxa"/>
              <w:right w:w="108" w:type="dxa"/>
            </w:tcMar>
            <w:vAlign w:val="bottom"/>
            <w:hideMark/>
          </w:tcPr>
          <w:p w14:paraId="1E23A826" w14:textId="77777777" w:rsidR="00A31E67" w:rsidRPr="00A31E67" w:rsidRDefault="00A31E67">
            <w:pPr>
              <w:jc w:val="center"/>
              <w:rPr>
                <w:rFonts w:eastAsiaTheme="minorHAnsi"/>
                <w:szCs w:val="22"/>
              </w:rPr>
            </w:pPr>
            <w:r w:rsidRPr="00A31E67">
              <w:rPr>
                <w:szCs w:val="22"/>
              </w:rPr>
              <w:t>0.20</w:t>
            </w:r>
          </w:p>
        </w:tc>
        <w:tc>
          <w:tcPr>
            <w:tcW w:w="1712" w:type="dxa"/>
            <w:noWrap/>
            <w:tcMar>
              <w:top w:w="0" w:type="dxa"/>
              <w:left w:w="108" w:type="dxa"/>
              <w:bottom w:w="0" w:type="dxa"/>
              <w:right w:w="108" w:type="dxa"/>
            </w:tcMar>
            <w:vAlign w:val="bottom"/>
            <w:hideMark/>
          </w:tcPr>
          <w:p w14:paraId="58F68CAD" w14:textId="77777777" w:rsidR="00A31E67" w:rsidRPr="00A31E67" w:rsidRDefault="00A31E67">
            <w:pPr>
              <w:jc w:val="center"/>
              <w:rPr>
                <w:rFonts w:eastAsiaTheme="minorHAnsi"/>
                <w:szCs w:val="22"/>
              </w:rPr>
            </w:pPr>
            <w:r w:rsidRPr="00A31E67">
              <w:rPr>
                <w:szCs w:val="22"/>
              </w:rPr>
              <w:t>-0.1000</w:t>
            </w:r>
          </w:p>
        </w:tc>
        <w:tc>
          <w:tcPr>
            <w:tcW w:w="1291" w:type="dxa"/>
            <w:noWrap/>
            <w:tcMar>
              <w:top w:w="0" w:type="dxa"/>
              <w:left w:w="108" w:type="dxa"/>
              <w:bottom w:w="0" w:type="dxa"/>
              <w:right w:w="108" w:type="dxa"/>
            </w:tcMar>
            <w:vAlign w:val="bottom"/>
            <w:hideMark/>
          </w:tcPr>
          <w:p w14:paraId="057F9EA5" w14:textId="77777777" w:rsidR="00A31E67" w:rsidRPr="00A31E67" w:rsidRDefault="00A31E67">
            <w:pPr>
              <w:jc w:val="center"/>
              <w:rPr>
                <w:rFonts w:eastAsiaTheme="minorHAnsi"/>
                <w:szCs w:val="22"/>
              </w:rPr>
            </w:pPr>
            <w:r w:rsidRPr="00A31E67">
              <w:rPr>
                <w:szCs w:val="22"/>
              </w:rPr>
              <w:t>-0.1000</w:t>
            </w:r>
          </w:p>
        </w:tc>
        <w:tc>
          <w:tcPr>
            <w:tcW w:w="1620" w:type="dxa"/>
            <w:noWrap/>
            <w:tcMar>
              <w:top w:w="0" w:type="dxa"/>
              <w:left w:w="108" w:type="dxa"/>
              <w:bottom w:w="0" w:type="dxa"/>
              <w:right w:w="108" w:type="dxa"/>
            </w:tcMar>
            <w:vAlign w:val="bottom"/>
            <w:hideMark/>
          </w:tcPr>
          <w:p w14:paraId="0BF5D299" w14:textId="77777777" w:rsidR="00A31E67" w:rsidRPr="00A31E67" w:rsidRDefault="00A31E67">
            <w:pPr>
              <w:jc w:val="center"/>
              <w:rPr>
                <w:rFonts w:eastAsiaTheme="minorHAnsi"/>
                <w:szCs w:val="22"/>
              </w:rPr>
            </w:pPr>
            <w:r w:rsidRPr="00A31E67">
              <w:rPr>
                <w:szCs w:val="22"/>
              </w:rPr>
              <w:t>NA</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709CE2F6" w14:textId="77777777" w:rsidR="00A31E67" w:rsidRPr="00A31E67" w:rsidRDefault="00A31E67">
            <w:pPr>
              <w:jc w:val="center"/>
              <w:rPr>
                <w:rFonts w:eastAsiaTheme="minorHAnsi"/>
                <w:szCs w:val="22"/>
              </w:rPr>
            </w:pPr>
            <w:r w:rsidRPr="00A31E67">
              <w:rPr>
                <w:szCs w:val="22"/>
              </w:rPr>
              <w:t>NA</w:t>
            </w:r>
          </w:p>
        </w:tc>
      </w:tr>
      <w:tr w:rsidR="00A31E67" w:rsidRPr="00A31E67" w14:paraId="07981981"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400F829C" w14:textId="77777777" w:rsidR="00A31E67" w:rsidRPr="00A31E67" w:rsidRDefault="00A31E67">
            <w:pPr>
              <w:rPr>
                <w:rFonts w:eastAsiaTheme="minorHAnsi"/>
                <w:szCs w:val="22"/>
              </w:rPr>
            </w:pPr>
            <w:r w:rsidRPr="00A31E67">
              <w:rPr>
                <w:szCs w:val="22"/>
              </w:rPr>
              <w:t>Frontier</w:t>
            </w:r>
          </w:p>
        </w:tc>
        <w:tc>
          <w:tcPr>
            <w:tcW w:w="705" w:type="dxa"/>
            <w:noWrap/>
            <w:tcMar>
              <w:top w:w="0" w:type="dxa"/>
              <w:left w:w="108" w:type="dxa"/>
              <w:bottom w:w="0" w:type="dxa"/>
              <w:right w:w="108" w:type="dxa"/>
            </w:tcMar>
            <w:vAlign w:val="bottom"/>
            <w:hideMark/>
          </w:tcPr>
          <w:p w14:paraId="2E1274BD" w14:textId="77777777" w:rsidR="00A31E67" w:rsidRPr="00A31E67" w:rsidRDefault="00A31E67">
            <w:pPr>
              <w:jc w:val="center"/>
              <w:rPr>
                <w:rFonts w:eastAsiaTheme="minorHAnsi"/>
                <w:szCs w:val="22"/>
              </w:rPr>
            </w:pPr>
            <w:r w:rsidRPr="00A31E67">
              <w:rPr>
                <w:szCs w:val="22"/>
              </w:rPr>
              <w:t>3.93</w:t>
            </w:r>
          </w:p>
        </w:tc>
        <w:tc>
          <w:tcPr>
            <w:tcW w:w="557" w:type="dxa"/>
            <w:noWrap/>
            <w:tcMar>
              <w:top w:w="0" w:type="dxa"/>
              <w:left w:w="108" w:type="dxa"/>
              <w:bottom w:w="0" w:type="dxa"/>
              <w:right w:w="108" w:type="dxa"/>
            </w:tcMar>
            <w:vAlign w:val="bottom"/>
            <w:hideMark/>
          </w:tcPr>
          <w:p w14:paraId="151536E0" w14:textId="77777777" w:rsidR="00A31E67" w:rsidRPr="00A31E67" w:rsidRDefault="00A31E67">
            <w:pPr>
              <w:jc w:val="center"/>
              <w:rPr>
                <w:rFonts w:eastAsiaTheme="minorHAnsi"/>
                <w:szCs w:val="22"/>
              </w:rPr>
            </w:pPr>
            <w:r w:rsidRPr="00A31E67">
              <w:rPr>
                <w:szCs w:val="22"/>
              </w:rPr>
              <w:t>0.40</w:t>
            </w:r>
          </w:p>
        </w:tc>
        <w:tc>
          <w:tcPr>
            <w:tcW w:w="1712" w:type="dxa"/>
            <w:noWrap/>
            <w:tcMar>
              <w:top w:w="0" w:type="dxa"/>
              <w:left w:w="108" w:type="dxa"/>
              <w:bottom w:w="0" w:type="dxa"/>
              <w:right w:w="108" w:type="dxa"/>
            </w:tcMar>
            <w:vAlign w:val="bottom"/>
            <w:hideMark/>
          </w:tcPr>
          <w:p w14:paraId="69E6FC66" w14:textId="77777777" w:rsidR="00A31E67" w:rsidRPr="00A31E67" w:rsidRDefault="00A31E67">
            <w:pPr>
              <w:jc w:val="center"/>
              <w:rPr>
                <w:rFonts w:eastAsiaTheme="minorHAnsi"/>
                <w:szCs w:val="22"/>
              </w:rPr>
            </w:pPr>
            <w:r w:rsidRPr="00A31E67">
              <w:rPr>
                <w:szCs w:val="22"/>
              </w:rPr>
              <w:t>0.0600</w:t>
            </w:r>
          </w:p>
        </w:tc>
        <w:tc>
          <w:tcPr>
            <w:tcW w:w="1291" w:type="dxa"/>
            <w:noWrap/>
            <w:tcMar>
              <w:top w:w="0" w:type="dxa"/>
              <w:left w:w="108" w:type="dxa"/>
              <w:bottom w:w="0" w:type="dxa"/>
              <w:right w:w="108" w:type="dxa"/>
            </w:tcMar>
            <w:vAlign w:val="bottom"/>
            <w:hideMark/>
          </w:tcPr>
          <w:p w14:paraId="5D6DCAC4" w14:textId="77777777" w:rsidR="00A31E67" w:rsidRPr="00A31E67" w:rsidRDefault="00A31E67">
            <w:pPr>
              <w:jc w:val="center"/>
              <w:rPr>
                <w:rFonts w:eastAsiaTheme="minorHAnsi"/>
                <w:szCs w:val="22"/>
              </w:rPr>
            </w:pPr>
            <w:r w:rsidRPr="00A31E67">
              <w:rPr>
                <w:szCs w:val="22"/>
              </w:rPr>
              <w:t>0.0150</w:t>
            </w:r>
          </w:p>
        </w:tc>
        <w:tc>
          <w:tcPr>
            <w:tcW w:w="1620" w:type="dxa"/>
            <w:noWrap/>
            <w:tcMar>
              <w:top w:w="0" w:type="dxa"/>
              <w:left w:w="108" w:type="dxa"/>
              <w:bottom w:w="0" w:type="dxa"/>
              <w:right w:w="108" w:type="dxa"/>
            </w:tcMar>
            <w:vAlign w:val="bottom"/>
            <w:hideMark/>
          </w:tcPr>
          <w:p w14:paraId="5808A8C1" w14:textId="77777777" w:rsidR="00A31E67" w:rsidRPr="00A31E67" w:rsidRDefault="00A31E67">
            <w:pPr>
              <w:jc w:val="center"/>
              <w:rPr>
                <w:rFonts w:eastAsiaTheme="minorHAnsi"/>
                <w:szCs w:val="22"/>
              </w:rPr>
            </w:pPr>
            <w:r w:rsidRPr="00A31E67">
              <w:rPr>
                <w:szCs w:val="22"/>
              </w:rPr>
              <w:t>0.0233</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5F3ECF00" w14:textId="77777777" w:rsidR="00A31E67" w:rsidRPr="00A31E67" w:rsidRDefault="00A31E67">
            <w:pPr>
              <w:jc w:val="center"/>
              <w:rPr>
                <w:rFonts w:eastAsiaTheme="minorHAnsi"/>
                <w:szCs w:val="22"/>
              </w:rPr>
            </w:pPr>
            <w:r w:rsidRPr="00A31E67">
              <w:rPr>
                <w:szCs w:val="22"/>
              </w:rPr>
              <w:t>0.0450</w:t>
            </w:r>
          </w:p>
        </w:tc>
      </w:tr>
      <w:tr w:rsidR="00A31E67" w:rsidRPr="00A31E67" w14:paraId="255F7949"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71172FEB" w14:textId="77777777" w:rsidR="00A31E67" w:rsidRPr="00A31E67" w:rsidRDefault="00A31E67">
            <w:pPr>
              <w:rPr>
                <w:rFonts w:eastAsiaTheme="minorHAnsi"/>
                <w:szCs w:val="22"/>
              </w:rPr>
            </w:pPr>
            <w:r w:rsidRPr="00A31E67">
              <w:rPr>
                <w:szCs w:val="22"/>
              </w:rPr>
              <w:t>AT&amp;T</w:t>
            </w:r>
          </w:p>
        </w:tc>
        <w:tc>
          <w:tcPr>
            <w:tcW w:w="705" w:type="dxa"/>
            <w:noWrap/>
            <w:tcMar>
              <w:top w:w="0" w:type="dxa"/>
              <w:left w:w="108" w:type="dxa"/>
              <w:bottom w:w="0" w:type="dxa"/>
              <w:right w:w="108" w:type="dxa"/>
            </w:tcMar>
            <w:vAlign w:val="bottom"/>
            <w:hideMark/>
          </w:tcPr>
          <w:p w14:paraId="21964435" w14:textId="77777777" w:rsidR="00A31E67" w:rsidRPr="00A31E67" w:rsidRDefault="00A31E67">
            <w:pPr>
              <w:jc w:val="center"/>
              <w:rPr>
                <w:rFonts w:eastAsiaTheme="minorHAnsi"/>
                <w:szCs w:val="22"/>
              </w:rPr>
            </w:pPr>
            <w:r w:rsidRPr="00A31E67">
              <w:rPr>
                <w:szCs w:val="22"/>
              </w:rPr>
              <w:t>36.74</w:t>
            </w:r>
          </w:p>
        </w:tc>
        <w:tc>
          <w:tcPr>
            <w:tcW w:w="557" w:type="dxa"/>
            <w:noWrap/>
            <w:tcMar>
              <w:top w:w="0" w:type="dxa"/>
              <w:left w:w="108" w:type="dxa"/>
              <w:bottom w:w="0" w:type="dxa"/>
              <w:right w:w="108" w:type="dxa"/>
            </w:tcMar>
            <w:vAlign w:val="bottom"/>
            <w:hideMark/>
          </w:tcPr>
          <w:p w14:paraId="1CC36638" w14:textId="77777777" w:rsidR="00A31E67" w:rsidRPr="00A31E67" w:rsidRDefault="00A31E67">
            <w:pPr>
              <w:jc w:val="center"/>
              <w:rPr>
                <w:rFonts w:eastAsiaTheme="minorHAnsi"/>
                <w:szCs w:val="22"/>
              </w:rPr>
            </w:pPr>
            <w:r w:rsidRPr="00A31E67">
              <w:rPr>
                <w:szCs w:val="22"/>
              </w:rPr>
              <w:t>1.80</w:t>
            </w:r>
          </w:p>
        </w:tc>
        <w:tc>
          <w:tcPr>
            <w:tcW w:w="1712" w:type="dxa"/>
            <w:noWrap/>
            <w:tcMar>
              <w:top w:w="0" w:type="dxa"/>
              <w:left w:w="108" w:type="dxa"/>
              <w:bottom w:w="0" w:type="dxa"/>
              <w:right w:w="108" w:type="dxa"/>
            </w:tcMar>
            <w:vAlign w:val="bottom"/>
            <w:hideMark/>
          </w:tcPr>
          <w:p w14:paraId="0F353855" w14:textId="77777777" w:rsidR="00A31E67" w:rsidRPr="00A31E67" w:rsidRDefault="00A31E67">
            <w:pPr>
              <w:jc w:val="center"/>
              <w:rPr>
                <w:rFonts w:eastAsiaTheme="minorHAnsi"/>
                <w:szCs w:val="22"/>
              </w:rPr>
            </w:pPr>
            <w:r w:rsidRPr="00A31E67">
              <w:rPr>
                <w:szCs w:val="22"/>
              </w:rPr>
              <w:t>0.0550</w:t>
            </w:r>
          </w:p>
        </w:tc>
        <w:tc>
          <w:tcPr>
            <w:tcW w:w="1291" w:type="dxa"/>
            <w:noWrap/>
            <w:tcMar>
              <w:top w:w="0" w:type="dxa"/>
              <w:left w:w="108" w:type="dxa"/>
              <w:bottom w:w="0" w:type="dxa"/>
              <w:right w:w="108" w:type="dxa"/>
            </w:tcMar>
            <w:vAlign w:val="bottom"/>
            <w:hideMark/>
          </w:tcPr>
          <w:p w14:paraId="07BEBB05" w14:textId="77777777" w:rsidR="00A31E67" w:rsidRPr="00A31E67" w:rsidRDefault="00A31E67">
            <w:pPr>
              <w:jc w:val="center"/>
              <w:rPr>
                <w:rFonts w:eastAsiaTheme="minorHAnsi"/>
                <w:szCs w:val="22"/>
              </w:rPr>
            </w:pPr>
            <w:r w:rsidRPr="00A31E67">
              <w:rPr>
                <w:szCs w:val="22"/>
              </w:rPr>
              <w:t>0.0594</w:t>
            </w:r>
          </w:p>
        </w:tc>
        <w:tc>
          <w:tcPr>
            <w:tcW w:w="1620" w:type="dxa"/>
            <w:noWrap/>
            <w:tcMar>
              <w:top w:w="0" w:type="dxa"/>
              <w:left w:w="108" w:type="dxa"/>
              <w:bottom w:w="0" w:type="dxa"/>
              <w:right w:w="108" w:type="dxa"/>
            </w:tcMar>
            <w:vAlign w:val="bottom"/>
            <w:hideMark/>
          </w:tcPr>
          <w:p w14:paraId="3B1973C0" w14:textId="77777777" w:rsidR="00A31E67" w:rsidRPr="00A31E67" w:rsidRDefault="00A31E67">
            <w:pPr>
              <w:jc w:val="center"/>
              <w:rPr>
                <w:rFonts w:eastAsiaTheme="minorHAnsi"/>
                <w:szCs w:val="22"/>
              </w:rPr>
            </w:pPr>
            <w:r w:rsidRPr="00A31E67">
              <w:rPr>
                <w:szCs w:val="22"/>
              </w:rPr>
              <w:t>0.0580</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5A7A6AC9" w14:textId="77777777" w:rsidR="00A31E67" w:rsidRPr="00A31E67" w:rsidRDefault="00A31E67">
            <w:pPr>
              <w:jc w:val="center"/>
              <w:rPr>
                <w:rFonts w:eastAsiaTheme="minorHAnsi"/>
                <w:szCs w:val="22"/>
              </w:rPr>
            </w:pPr>
            <w:r w:rsidRPr="00A31E67">
              <w:rPr>
                <w:szCs w:val="22"/>
              </w:rPr>
              <w:t>0.0580</w:t>
            </w:r>
          </w:p>
        </w:tc>
      </w:tr>
      <w:tr w:rsidR="00A31E67" w:rsidRPr="00A31E67" w14:paraId="4E7CF067"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5ABCBE4F" w14:textId="77777777" w:rsidR="00A31E67" w:rsidRPr="00A31E67" w:rsidRDefault="00A31E67">
            <w:pPr>
              <w:rPr>
                <w:rFonts w:eastAsiaTheme="minorHAnsi"/>
                <w:szCs w:val="22"/>
              </w:rPr>
            </w:pPr>
            <w:r w:rsidRPr="00A31E67">
              <w:rPr>
                <w:szCs w:val="22"/>
              </w:rPr>
              <w:t>Verizon</w:t>
            </w:r>
          </w:p>
        </w:tc>
        <w:tc>
          <w:tcPr>
            <w:tcW w:w="705" w:type="dxa"/>
            <w:noWrap/>
            <w:tcMar>
              <w:top w:w="0" w:type="dxa"/>
              <w:left w:w="108" w:type="dxa"/>
              <w:bottom w:w="0" w:type="dxa"/>
              <w:right w:w="108" w:type="dxa"/>
            </w:tcMar>
            <w:vAlign w:val="bottom"/>
            <w:hideMark/>
          </w:tcPr>
          <w:p w14:paraId="15DDBFE8" w14:textId="77777777" w:rsidR="00A31E67" w:rsidRPr="00A31E67" w:rsidRDefault="00A31E67">
            <w:pPr>
              <w:jc w:val="center"/>
              <w:rPr>
                <w:rFonts w:eastAsiaTheme="minorHAnsi"/>
                <w:szCs w:val="22"/>
              </w:rPr>
            </w:pPr>
            <w:r w:rsidRPr="00A31E67">
              <w:rPr>
                <w:szCs w:val="22"/>
              </w:rPr>
              <w:t>49.48</w:t>
            </w:r>
          </w:p>
        </w:tc>
        <w:tc>
          <w:tcPr>
            <w:tcW w:w="557" w:type="dxa"/>
            <w:noWrap/>
            <w:tcMar>
              <w:top w:w="0" w:type="dxa"/>
              <w:left w:w="108" w:type="dxa"/>
              <w:bottom w:w="0" w:type="dxa"/>
              <w:right w:w="108" w:type="dxa"/>
            </w:tcMar>
            <w:vAlign w:val="bottom"/>
            <w:hideMark/>
          </w:tcPr>
          <w:p w14:paraId="7717EDA3" w14:textId="77777777" w:rsidR="00A31E67" w:rsidRPr="00A31E67" w:rsidRDefault="00A31E67">
            <w:pPr>
              <w:jc w:val="center"/>
              <w:rPr>
                <w:rFonts w:eastAsiaTheme="minorHAnsi"/>
                <w:szCs w:val="22"/>
              </w:rPr>
            </w:pPr>
            <w:r w:rsidRPr="00A31E67">
              <w:rPr>
                <w:szCs w:val="22"/>
              </w:rPr>
              <w:t>2.06</w:t>
            </w:r>
          </w:p>
        </w:tc>
        <w:tc>
          <w:tcPr>
            <w:tcW w:w="1712" w:type="dxa"/>
            <w:noWrap/>
            <w:tcMar>
              <w:top w:w="0" w:type="dxa"/>
              <w:left w:w="108" w:type="dxa"/>
              <w:bottom w:w="0" w:type="dxa"/>
              <w:right w:w="108" w:type="dxa"/>
            </w:tcMar>
            <w:vAlign w:val="bottom"/>
            <w:hideMark/>
          </w:tcPr>
          <w:p w14:paraId="6C04758E" w14:textId="77777777" w:rsidR="00A31E67" w:rsidRPr="00A31E67" w:rsidRDefault="00A31E67">
            <w:pPr>
              <w:jc w:val="center"/>
              <w:rPr>
                <w:rFonts w:eastAsiaTheme="minorHAnsi"/>
                <w:szCs w:val="22"/>
              </w:rPr>
            </w:pPr>
            <w:r w:rsidRPr="00A31E67">
              <w:rPr>
                <w:szCs w:val="22"/>
              </w:rPr>
              <w:t>0.0633</w:t>
            </w:r>
          </w:p>
        </w:tc>
        <w:tc>
          <w:tcPr>
            <w:tcW w:w="1291" w:type="dxa"/>
            <w:noWrap/>
            <w:tcMar>
              <w:top w:w="0" w:type="dxa"/>
              <w:left w:w="108" w:type="dxa"/>
              <w:bottom w:w="0" w:type="dxa"/>
              <w:right w:w="108" w:type="dxa"/>
            </w:tcMar>
            <w:vAlign w:val="bottom"/>
            <w:hideMark/>
          </w:tcPr>
          <w:p w14:paraId="021EC5CC" w14:textId="77777777" w:rsidR="00A31E67" w:rsidRPr="00A31E67" w:rsidRDefault="00A31E67">
            <w:pPr>
              <w:jc w:val="center"/>
              <w:rPr>
                <w:rFonts w:eastAsiaTheme="minorHAnsi"/>
                <w:szCs w:val="22"/>
              </w:rPr>
            </w:pPr>
            <w:r w:rsidRPr="00A31E67">
              <w:rPr>
                <w:szCs w:val="22"/>
              </w:rPr>
              <w:t>0.1000</w:t>
            </w:r>
          </w:p>
        </w:tc>
        <w:tc>
          <w:tcPr>
            <w:tcW w:w="1620" w:type="dxa"/>
            <w:noWrap/>
            <w:tcMar>
              <w:top w:w="0" w:type="dxa"/>
              <w:left w:w="108" w:type="dxa"/>
              <w:bottom w:w="0" w:type="dxa"/>
              <w:right w:w="108" w:type="dxa"/>
            </w:tcMar>
            <w:vAlign w:val="bottom"/>
            <w:hideMark/>
          </w:tcPr>
          <w:p w14:paraId="7196C44D" w14:textId="77777777" w:rsidR="00A31E67" w:rsidRPr="00A31E67" w:rsidRDefault="00A31E67">
            <w:pPr>
              <w:jc w:val="center"/>
              <w:rPr>
                <w:rFonts w:eastAsiaTheme="minorHAnsi"/>
                <w:szCs w:val="22"/>
              </w:rPr>
            </w:pPr>
            <w:r w:rsidRPr="00A31E67">
              <w:rPr>
                <w:szCs w:val="22"/>
              </w:rPr>
              <w:t>0.0575</w:t>
            </w: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3FF5A9B9" w14:textId="77777777" w:rsidR="00A31E67" w:rsidRPr="00A31E67" w:rsidRDefault="00A31E67">
            <w:pPr>
              <w:jc w:val="center"/>
              <w:rPr>
                <w:rFonts w:eastAsiaTheme="minorHAnsi"/>
                <w:szCs w:val="22"/>
              </w:rPr>
            </w:pPr>
            <w:r w:rsidRPr="00A31E67">
              <w:rPr>
                <w:szCs w:val="22"/>
              </w:rPr>
              <w:t>0.0730</w:t>
            </w:r>
          </w:p>
        </w:tc>
      </w:tr>
      <w:tr w:rsidR="00A31E67" w:rsidRPr="00A31E67" w14:paraId="37155498" w14:textId="77777777" w:rsidTr="00A31E67">
        <w:trPr>
          <w:trHeight w:val="270"/>
        </w:trPr>
        <w:tc>
          <w:tcPr>
            <w:tcW w:w="1589"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A1F8339" w14:textId="77777777" w:rsidR="00A31E67" w:rsidRPr="00A31E67" w:rsidRDefault="00A31E67">
            <w:pPr>
              <w:rPr>
                <w:rFonts w:eastAsiaTheme="minorHAnsi"/>
                <w:szCs w:val="22"/>
              </w:rPr>
            </w:pPr>
            <w:r w:rsidRPr="00A31E67">
              <w:rPr>
                <w:szCs w:val="22"/>
              </w:rPr>
              <w:t>Century Link</w:t>
            </w:r>
          </w:p>
        </w:tc>
        <w:tc>
          <w:tcPr>
            <w:tcW w:w="705" w:type="dxa"/>
            <w:tcBorders>
              <w:top w:val="nil"/>
              <w:left w:val="nil"/>
              <w:bottom w:val="single" w:sz="8" w:space="0" w:color="auto"/>
              <w:right w:val="nil"/>
            </w:tcBorders>
            <w:noWrap/>
            <w:tcMar>
              <w:top w:w="0" w:type="dxa"/>
              <w:left w:w="108" w:type="dxa"/>
              <w:bottom w:w="0" w:type="dxa"/>
              <w:right w:w="108" w:type="dxa"/>
            </w:tcMar>
            <w:vAlign w:val="bottom"/>
            <w:hideMark/>
          </w:tcPr>
          <w:p w14:paraId="15F9F973" w14:textId="77777777" w:rsidR="00A31E67" w:rsidRPr="00A31E67" w:rsidRDefault="00A31E67">
            <w:pPr>
              <w:jc w:val="center"/>
              <w:rPr>
                <w:rFonts w:eastAsiaTheme="minorHAnsi"/>
                <w:szCs w:val="22"/>
              </w:rPr>
            </w:pPr>
            <w:r w:rsidRPr="00A31E67">
              <w:rPr>
                <w:szCs w:val="22"/>
              </w:rPr>
              <w:t>35.20</w:t>
            </w:r>
          </w:p>
        </w:tc>
        <w:tc>
          <w:tcPr>
            <w:tcW w:w="557" w:type="dxa"/>
            <w:tcBorders>
              <w:top w:val="nil"/>
              <w:left w:val="nil"/>
              <w:bottom w:val="single" w:sz="8" w:space="0" w:color="auto"/>
              <w:right w:val="nil"/>
            </w:tcBorders>
            <w:noWrap/>
            <w:tcMar>
              <w:top w:w="0" w:type="dxa"/>
              <w:left w:w="108" w:type="dxa"/>
              <w:bottom w:w="0" w:type="dxa"/>
              <w:right w:w="108" w:type="dxa"/>
            </w:tcMar>
            <w:vAlign w:val="bottom"/>
            <w:hideMark/>
          </w:tcPr>
          <w:p w14:paraId="31E37F27" w14:textId="77777777" w:rsidR="00A31E67" w:rsidRPr="00A31E67" w:rsidRDefault="00A31E67">
            <w:pPr>
              <w:jc w:val="center"/>
              <w:rPr>
                <w:rFonts w:eastAsiaTheme="minorHAnsi"/>
                <w:szCs w:val="22"/>
              </w:rPr>
            </w:pPr>
            <w:r w:rsidRPr="00A31E67">
              <w:rPr>
                <w:szCs w:val="22"/>
              </w:rPr>
              <w:t>2.16</w:t>
            </w:r>
          </w:p>
        </w:tc>
        <w:tc>
          <w:tcPr>
            <w:tcW w:w="1712" w:type="dxa"/>
            <w:tcBorders>
              <w:top w:val="nil"/>
              <w:left w:val="nil"/>
              <w:bottom w:val="single" w:sz="8" w:space="0" w:color="auto"/>
              <w:right w:val="nil"/>
            </w:tcBorders>
            <w:noWrap/>
            <w:tcMar>
              <w:top w:w="0" w:type="dxa"/>
              <w:left w:w="108" w:type="dxa"/>
              <w:bottom w:w="0" w:type="dxa"/>
              <w:right w:w="108" w:type="dxa"/>
            </w:tcMar>
            <w:vAlign w:val="bottom"/>
            <w:hideMark/>
          </w:tcPr>
          <w:p w14:paraId="7F91D4DB" w14:textId="77777777" w:rsidR="00A31E67" w:rsidRPr="00A31E67" w:rsidRDefault="00A31E67">
            <w:pPr>
              <w:jc w:val="center"/>
              <w:rPr>
                <w:rFonts w:eastAsiaTheme="minorHAnsi"/>
                <w:szCs w:val="22"/>
              </w:rPr>
            </w:pPr>
            <w:r w:rsidRPr="00A31E67">
              <w:rPr>
                <w:szCs w:val="22"/>
              </w:rPr>
              <w:t>0.0055</w:t>
            </w:r>
          </w:p>
        </w:tc>
        <w:tc>
          <w:tcPr>
            <w:tcW w:w="1291" w:type="dxa"/>
            <w:tcBorders>
              <w:top w:val="nil"/>
              <w:left w:val="nil"/>
              <w:bottom w:val="single" w:sz="8" w:space="0" w:color="auto"/>
              <w:right w:val="nil"/>
            </w:tcBorders>
            <w:noWrap/>
            <w:tcMar>
              <w:top w:w="0" w:type="dxa"/>
              <w:left w:w="108" w:type="dxa"/>
              <w:bottom w:w="0" w:type="dxa"/>
              <w:right w:w="108" w:type="dxa"/>
            </w:tcMar>
            <w:vAlign w:val="bottom"/>
            <w:hideMark/>
          </w:tcPr>
          <w:p w14:paraId="189FBFA9" w14:textId="77777777" w:rsidR="00A31E67" w:rsidRPr="00A31E67" w:rsidRDefault="00A31E67">
            <w:pPr>
              <w:jc w:val="center"/>
              <w:rPr>
                <w:rFonts w:eastAsiaTheme="minorHAnsi"/>
                <w:szCs w:val="22"/>
              </w:rPr>
            </w:pPr>
            <w:r w:rsidRPr="00A31E67">
              <w:rPr>
                <w:szCs w:val="22"/>
              </w:rPr>
              <w:t>0.0060</w:t>
            </w:r>
          </w:p>
        </w:tc>
        <w:tc>
          <w:tcPr>
            <w:tcW w:w="1620" w:type="dxa"/>
            <w:tcBorders>
              <w:top w:val="nil"/>
              <w:left w:val="nil"/>
              <w:bottom w:val="single" w:sz="8" w:space="0" w:color="auto"/>
              <w:right w:val="nil"/>
            </w:tcBorders>
            <w:noWrap/>
            <w:tcMar>
              <w:top w:w="0" w:type="dxa"/>
              <w:left w:w="108" w:type="dxa"/>
              <w:bottom w:w="0" w:type="dxa"/>
              <w:right w:w="108" w:type="dxa"/>
            </w:tcMar>
            <w:vAlign w:val="bottom"/>
            <w:hideMark/>
          </w:tcPr>
          <w:p w14:paraId="438871AA" w14:textId="77777777" w:rsidR="00A31E67" w:rsidRPr="00A31E67" w:rsidRDefault="00A31E67">
            <w:pPr>
              <w:jc w:val="center"/>
              <w:rPr>
                <w:rFonts w:eastAsiaTheme="minorHAnsi"/>
                <w:szCs w:val="22"/>
              </w:rPr>
            </w:pPr>
            <w:r w:rsidRPr="00A31E67">
              <w:rPr>
                <w:szCs w:val="22"/>
              </w:rPr>
              <w:t>0.0137</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7D543B" w14:textId="77777777" w:rsidR="00A31E67" w:rsidRPr="00A31E67" w:rsidRDefault="00A31E67">
            <w:pPr>
              <w:jc w:val="center"/>
              <w:rPr>
                <w:rFonts w:eastAsiaTheme="minorHAnsi"/>
                <w:szCs w:val="22"/>
              </w:rPr>
            </w:pPr>
            <w:r w:rsidRPr="00A31E67">
              <w:rPr>
                <w:szCs w:val="22"/>
              </w:rPr>
              <w:t>0.0370</w:t>
            </w:r>
          </w:p>
        </w:tc>
      </w:tr>
      <w:tr w:rsidR="00A31E67" w:rsidRPr="00A31E67" w14:paraId="3E598CF1"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485B1A0B" w14:textId="77777777" w:rsidR="00A31E67" w:rsidRPr="00A31E67" w:rsidRDefault="00A31E67">
            <w:pPr>
              <w:rPr>
                <w:rFonts w:eastAsiaTheme="minorHAnsi"/>
                <w:szCs w:val="22"/>
              </w:rPr>
            </w:pPr>
            <w:r w:rsidRPr="00A31E67">
              <w:rPr>
                <w:szCs w:val="22"/>
              </w:rPr>
              <w:t> </w:t>
            </w:r>
          </w:p>
        </w:tc>
        <w:tc>
          <w:tcPr>
            <w:tcW w:w="705" w:type="dxa"/>
            <w:noWrap/>
            <w:tcMar>
              <w:top w:w="0" w:type="dxa"/>
              <w:left w:w="108" w:type="dxa"/>
              <w:bottom w:w="0" w:type="dxa"/>
              <w:right w:w="108" w:type="dxa"/>
            </w:tcMar>
            <w:vAlign w:val="bottom"/>
            <w:hideMark/>
          </w:tcPr>
          <w:p w14:paraId="6A02F521" w14:textId="77777777" w:rsidR="00A31E67" w:rsidRPr="00A31E67" w:rsidRDefault="00A31E67">
            <w:pPr>
              <w:rPr>
                <w:szCs w:val="22"/>
              </w:rPr>
            </w:pPr>
          </w:p>
        </w:tc>
        <w:tc>
          <w:tcPr>
            <w:tcW w:w="557" w:type="dxa"/>
            <w:noWrap/>
            <w:tcMar>
              <w:top w:w="0" w:type="dxa"/>
              <w:left w:w="108" w:type="dxa"/>
              <w:bottom w:w="0" w:type="dxa"/>
              <w:right w:w="108" w:type="dxa"/>
            </w:tcMar>
            <w:vAlign w:val="bottom"/>
            <w:hideMark/>
          </w:tcPr>
          <w:p w14:paraId="0E82EABA" w14:textId="77777777" w:rsidR="00A31E67" w:rsidRPr="00A31E67" w:rsidRDefault="00A31E67">
            <w:pPr>
              <w:rPr>
                <w:szCs w:val="22"/>
              </w:rPr>
            </w:pPr>
          </w:p>
        </w:tc>
        <w:tc>
          <w:tcPr>
            <w:tcW w:w="1712" w:type="dxa"/>
            <w:noWrap/>
            <w:tcMar>
              <w:top w:w="0" w:type="dxa"/>
              <w:left w:w="108" w:type="dxa"/>
              <w:bottom w:w="0" w:type="dxa"/>
              <w:right w:w="108" w:type="dxa"/>
            </w:tcMar>
            <w:vAlign w:val="bottom"/>
            <w:hideMark/>
          </w:tcPr>
          <w:p w14:paraId="4F739F16" w14:textId="77777777" w:rsidR="00A31E67" w:rsidRPr="00A31E67" w:rsidRDefault="00A31E67">
            <w:pPr>
              <w:rPr>
                <w:szCs w:val="22"/>
              </w:rPr>
            </w:pPr>
          </w:p>
        </w:tc>
        <w:tc>
          <w:tcPr>
            <w:tcW w:w="1291" w:type="dxa"/>
            <w:noWrap/>
            <w:tcMar>
              <w:top w:w="0" w:type="dxa"/>
              <w:left w:w="108" w:type="dxa"/>
              <w:bottom w:w="0" w:type="dxa"/>
              <w:right w:w="108" w:type="dxa"/>
            </w:tcMar>
            <w:vAlign w:val="bottom"/>
            <w:hideMark/>
          </w:tcPr>
          <w:p w14:paraId="21AAEDB4" w14:textId="77777777" w:rsidR="00A31E67" w:rsidRPr="00A31E67" w:rsidRDefault="00A31E67">
            <w:pPr>
              <w:rPr>
                <w:szCs w:val="22"/>
              </w:rPr>
            </w:pPr>
          </w:p>
        </w:tc>
        <w:tc>
          <w:tcPr>
            <w:tcW w:w="1620" w:type="dxa"/>
            <w:noWrap/>
            <w:tcMar>
              <w:top w:w="0" w:type="dxa"/>
              <w:left w:w="108" w:type="dxa"/>
              <w:bottom w:w="0" w:type="dxa"/>
              <w:right w:w="108" w:type="dxa"/>
            </w:tcMar>
            <w:vAlign w:val="bottom"/>
            <w:hideMark/>
          </w:tcPr>
          <w:p w14:paraId="356DDCA5"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52B68001" w14:textId="77777777" w:rsidR="00A31E67" w:rsidRPr="00A31E67" w:rsidRDefault="00A31E67">
            <w:pPr>
              <w:jc w:val="center"/>
              <w:rPr>
                <w:rFonts w:eastAsiaTheme="minorHAnsi"/>
                <w:szCs w:val="22"/>
              </w:rPr>
            </w:pPr>
            <w:r w:rsidRPr="00A31E67">
              <w:rPr>
                <w:szCs w:val="22"/>
              </w:rPr>
              <w:t> </w:t>
            </w:r>
          </w:p>
        </w:tc>
      </w:tr>
      <w:tr w:rsidR="00A31E67" w:rsidRPr="00A31E67" w14:paraId="3444DEC2"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0C80C695" w14:textId="77777777" w:rsidR="00A31E67" w:rsidRPr="00A31E67" w:rsidRDefault="00A31E67">
            <w:pPr>
              <w:rPr>
                <w:rFonts w:eastAsiaTheme="minorHAnsi"/>
                <w:szCs w:val="22"/>
              </w:rPr>
            </w:pPr>
          </w:p>
        </w:tc>
        <w:tc>
          <w:tcPr>
            <w:tcW w:w="705" w:type="dxa"/>
            <w:noWrap/>
            <w:tcMar>
              <w:top w:w="0" w:type="dxa"/>
              <w:left w:w="108" w:type="dxa"/>
              <w:bottom w:w="0" w:type="dxa"/>
              <w:right w:w="108" w:type="dxa"/>
            </w:tcMar>
            <w:vAlign w:val="bottom"/>
            <w:hideMark/>
          </w:tcPr>
          <w:p w14:paraId="434EEB1D" w14:textId="77777777" w:rsidR="00A31E67" w:rsidRPr="00A31E67" w:rsidRDefault="00A31E67">
            <w:pPr>
              <w:rPr>
                <w:szCs w:val="22"/>
              </w:rPr>
            </w:pPr>
          </w:p>
        </w:tc>
        <w:tc>
          <w:tcPr>
            <w:tcW w:w="557" w:type="dxa"/>
            <w:noWrap/>
            <w:tcMar>
              <w:top w:w="0" w:type="dxa"/>
              <w:left w:w="108" w:type="dxa"/>
              <w:bottom w:w="0" w:type="dxa"/>
              <w:right w:w="108" w:type="dxa"/>
            </w:tcMar>
            <w:vAlign w:val="bottom"/>
            <w:hideMark/>
          </w:tcPr>
          <w:p w14:paraId="459E9F16" w14:textId="77777777" w:rsidR="00A31E67" w:rsidRPr="00A31E67" w:rsidRDefault="00A31E67">
            <w:pPr>
              <w:rPr>
                <w:szCs w:val="22"/>
              </w:rPr>
            </w:pPr>
          </w:p>
        </w:tc>
        <w:tc>
          <w:tcPr>
            <w:tcW w:w="1712" w:type="dxa"/>
            <w:noWrap/>
            <w:tcMar>
              <w:top w:w="0" w:type="dxa"/>
              <w:left w:w="108" w:type="dxa"/>
              <w:bottom w:w="0" w:type="dxa"/>
              <w:right w:w="108" w:type="dxa"/>
            </w:tcMar>
            <w:vAlign w:val="bottom"/>
            <w:hideMark/>
          </w:tcPr>
          <w:p w14:paraId="7149E9E1" w14:textId="77777777" w:rsidR="00A31E67" w:rsidRPr="00A31E67" w:rsidRDefault="00A31E67">
            <w:pPr>
              <w:rPr>
                <w:szCs w:val="22"/>
              </w:rPr>
            </w:pPr>
          </w:p>
        </w:tc>
        <w:tc>
          <w:tcPr>
            <w:tcW w:w="1291" w:type="dxa"/>
            <w:noWrap/>
            <w:tcMar>
              <w:top w:w="0" w:type="dxa"/>
              <w:left w:w="108" w:type="dxa"/>
              <w:bottom w:w="0" w:type="dxa"/>
              <w:right w:w="108" w:type="dxa"/>
            </w:tcMar>
            <w:vAlign w:val="bottom"/>
            <w:hideMark/>
          </w:tcPr>
          <w:p w14:paraId="3B9E433E" w14:textId="77777777" w:rsidR="00A31E67" w:rsidRPr="00A31E67" w:rsidRDefault="00A31E67">
            <w:pPr>
              <w:rPr>
                <w:szCs w:val="22"/>
              </w:rPr>
            </w:pPr>
          </w:p>
        </w:tc>
        <w:tc>
          <w:tcPr>
            <w:tcW w:w="1620" w:type="dxa"/>
            <w:noWrap/>
            <w:tcMar>
              <w:top w:w="0" w:type="dxa"/>
              <w:left w:w="108" w:type="dxa"/>
              <w:bottom w:w="0" w:type="dxa"/>
              <w:right w:w="108" w:type="dxa"/>
            </w:tcMar>
            <w:vAlign w:val="bottom"/>
            <w:hideMark/>
          </w:tcPr>
          <w:p w14:paraId="41866795"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5C409299" w14:textId="77777777" w:rsidR="00A31E67" w:rsidRPr="00A31E67" w:rsidRDefault="00A31E67">
            <w:pPr>
              <w:jc w:val="center"/>
              <w:rPr>
                <w:rFonts w:eastAsiaTheme="minorHAnsi"/>
                <w:szCs w:val="22"/>
              </w:rPr>
            </w:pPr>
            <w:r w:rsidRPr="00A31E67">
              <w:rPr>
                <w:szCs w:val="22"/>
              </w:rPr>
              <w:t> </w:t>
            </w:r>
          </w:p>
        </w:tc>
      </w:tr>
      <w:tr w:rsidR="00A31E67" w:rsidRPr="00A31E67" w14:paraId="3129615C"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512296E3" w14:textId="77777777" w:rsidR="00A31E67" w:rsidRPr="00A31E67" w:rsidRDefault="00A31E67">
            <w:pPr>
              <w:rPr>
                <w:rFonts w:eastAsiaTheme="minorHAnsi"/>
                <w:szCs w:val="22"/>
              </w:rPr>
            </w:pPr>
            <w:r w:rsidRPr="00A31E67">
              <w:rPr>
                <w:szCs w:val="22"/>
              </w:rPr>
              <w:t>Notes:</w:t>
            </w:r>
          </w:p>
        </w:tc>
        <w:tc>
          <w:tcPr>
            <w:tcW w:w="705" w:type="dxa"/>
            <w:noWrap/>
            <w:tcMar>
              <w:top w:w="0" w:type="dxa"/>
              <w:left w:w="108" w:type="dxa"/>
              <w:bottom w:w="0" w:type="dxa"/>
              <w:right w:w="108" w:type="dxa"/>
            </w:tcMar>
            <w:vAlign w:val="bottom"/>
            <w:hideMark/>
          </w:tcPr>
          <w:p w14:paraId="37035736" w14:textId="77777777" w:rsidR="00A31E67" w:rsidRPr="00A31E67" w:rsidRDefault="00A31E67">
            <w:pPr>
              <w:rPr>
                <w:szCs w:val="22"/>
              </w:rPr>
            </w:pPr>
          </w:p>
        </w:tc>
        <w:tc>
          <w:tcPr>
            <w:tcW w:w="557" w:type="dxa"/>
            <w:noWrap/>
            <w:tcMar>
              <w:top w:w="0" w:type="dxa"/>
              <w:left w:w="108" w:type="dxa"/>
              <w:bottom w:w="0" w:type="dxa"/>
              <w:right w:w="108" w:type="dxa"/>
            </w:tcMar>
            <w:vAlign w:val="bottom"/>
            <w:hideMark/>
          </w:tcPr>
          <w:p w14:paraId="163576CE" w14:textId="77777777" w:rsidR="00A31E67" w:rsidRPr="00A31E67" w:rsidRDefault="00A31E67">
            <w:pPr>
              <w:rPr>
                <w:szCs w:val="22"/>
              </w:rPr>
            </w:pPr>
          </w:p>
        </w:tc>
        <w:tc>
          <w:tcPr>
            <w:tcW w:w="1712" w:type="dxa"/>
            <w:noWrap/>
            <w:tcMar>
              <w:top w:w="0" w:type="dxa"/>
              <w:left w:w="108" w:type="dxa"/>
              <w:bottom w:w="0" w:type="dxa"/>
              <w:right w:w="108" w:type="dxa"/>
            </w:tcMar>
            <w:vAlign w:val="bottom"/>
            <w:hideMark/>
          </w:tcPr>
          <w:p w14:paraId="1C1B7B8E" w14:textId="77777777" w:rsidR="00A31E67" w:rsidRPr="00A31E67" w:rsidRDefault="00A31E67">
            <w:pPr>
              <w:rPr>
                <w:szCs w:val="22"/>
              </w:rPr>
            </w:pPr>
          </w:p>
        </w:tc>
        <w:tc>
          <w:tcPr>
            <w:tcW w:w="1291" w:type="dxa"/>
            <w:noWrap/>
            <w:tcMar>
              <w:top w:w="0" w:type="dxa"/>
              <w:left w:w="108" w:type="dxa"/>
              <w:bottom w:w="0" w:type="dxa"/>
              <w:right w:w="108" w:type="dxa"/>
            </w:tcMar>
            <w:vAlign w:val="bottom"/>
            <w:hideMark/>
          </w:tcPr>
          <w:p w14:paraId="655FAB55" w14:textId="77777777" w:rsidR="00A31E67" w:rsidRPr="00A31E67" w:rsidRDefault="00A31E67">
            <w:pPr>
              <w:rPr>
                <w:szCs w:val="22"/>
              </w:rPr>
            </w:pPr>
          </w:p>
        </w:tc>
        <w:tc>
          <w:tcPr>
            <w:tcW w:w="1620" w:type="dxa"/>
            <w:noWrap/>
            <w:tcMar>
              <w:top w:w="0" w:type="dxa"/>
              <w:left w:w="108" w:type="dxa"/>
              <w:bottom w:w="0" w:type="dxa"/>
              <w:right w:w="108" w:type="dxa"/>
            </w:tcMar>
            <w:vAlign w:val="bottom"/>
            <w:hideMark/>
          </w:tcPr>
          <w:p w14:paraId="223CD74A"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131BEB95" w14:textId="77777777" w:rsidR="00A31E67" w:rsidRPr="00A31E67" w:rsidRDefault="00A31E67">
            <w:pPr>
              <w:rPr>
                <w:rFonts w:eastAsiaTheme="minorHAnsi"/>
                <w:szCs w:val="22"/>
              </w:rPr>
            </w:pPr>
            <w:r w:rsidRPr="00A31E67">
              <w:rPr>
                <w:szCs w:val="22"/>
              </w:rPr>
              <w:t> </w:t>
            </w:r>
          </w:p>
        </w:tc>
      </w:tr>
      <w:tr w:rsidR="00A31E67" w:rsidRPr="00A31E67" w14:paraId="444E8C90" w14:textId="77777777" w:rsidTr="00A31E67">
        <w:trPr>
          <w:trHeight w:val="360"/>
        </w:trPr>
        <w:tc>
          <w:tcPr>
            <w:tcW w:w="5854" w:type="dxa"/>
            <w:gridSpan w:val="5"/>
            <w:tcBorders>
              <w:top w:val="nil"/>
              <w:left w:val="single" w:sz="8" w:space="0" w:color="auto"/>
              <w:bottom w:val="nil"/>
              <w:right w:val="nil"/>
            </w:tcBorders>
            <w:noWrap/>
            <w:tcMar>
              <w:top w:w="0" w:type="dxa"/>
              <w:left w:w="108" w:type="dxa"/>
              <w:bottom w:w="0" w:type="dxa"/>
              <w:right w:w="108" w:type="dxa"/>
            </w:tcMar>
            <w:vAlign w:val="bottom"/>
            <w:hideMark/>
          </w:tcPr>
          <w:p w14:paraId="1B88E309" w14:textId="77777777" w:rsidR="00A31E67" w:rsidRPr="00A31E67" w:rsidRDefault="00A31E67" w:rsidP="009964C1">
            <w:pPr>
              <w:rPr>
                <w:rFonts w:eastAsiaTheme="minorHAnsi"/>
                <w:szCs w:val="22"/>
              </w:rPr>
            </w:pPr>
            <w:r w:rsidRPr="00A31E67">
              <w:rPr>
                <w:szCs w:val="22"/>
              </w:rPr>
              <w:t>Current price (P</w:t>
            </w:r>
            <w:r w:rsidRPr="00A31E67">
              <w:rPr>
                <w:color w:val="000000"/>
                <w:szCs w:val="22"/>
                <w:vertAlign w:val="subscript"/>
              </w:rPr>
              <w:t>0</w:t>
            </w:r>
            <w:r w:rsidRPr="00A31E67">
              <w:rPr>
                <w:color w:val="000000"/>
                <w:szCs w:val="22"/>
              </w:rPr>
              <w:t>)</w:t>
            </w:r>
            <w:r w:rsidRPr="00A31E67">
              <w:rPr>
                <w:szCs w:val="22"/>
              </w:rPr>
              <w:t xml:space="preserve"> and current dividend (D</w:t>
            </w:r>
            <w:r w:rsidRPr="00A31E67">
              <w:rPr>
                <w:color w:val="000000"/>
                <w:szCs w:val="22"/>
                <w:vertAlign w:val="subscript"/>
              </w:rPr>
              <w:t>0</w:t>
            </w:r>
            <w:r w:rsidRPr="00A31E67">
              <w:rPr>
                <w:color w:val="000000"/>
                <w:szCs w:val="22"/>
              </w:rPr>
              <w:t>)</w:t>
            </w:r>
            <w:r w:rsidRPr="00A31E67">
              <w:rPr>
                <w:szCs w:val="22"/>
              </w:rPr>
              <w:t xml:space="preserve"> </w:t>
            </w:r>
            <w:r w:rsidR="00E426F7">
              <w:rPr>
                <w:szCs w:val="22"/>
              </w:rPr>
              <w:t xml:space="preserve">for each carrier </w:t>
            </w:r>
            <w:r w:rsidRPr="00A31E67">
              <w:rPr>
                <w:szCs w:val="22"/>
              </w:rPr>
              <w:t>obtained from:</w:t>
            </w:r>
          </w:p>
        </w:tc>
        <w:tc>
          <w:tcPr>
            <w:tcW w:w="1620" w:type="dxa"/>
            <w:noWrap/>
            <w:tcMar>
              <w:top w:w="0" w:type="dxa"/>
              <w:left w:w="108" w:type="dxa"/>
              <w:bottom w:w="0" w:type="dxa"/>
              <w:right w:w="108" w:type="dxa"/>
            </w:tcMar>
            <w:vAlign w:val="bottom"/>
            <w:hideMark/>
          </w:tcPr>
          <w:p w14:paraId="6D7A9739"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13086670" w14:textId="77777777" w:rsidR="00A31E67" w:rsidRPr="00A31E67" w:rsidRDefault="00A31E67">
            <w:pPr>
              <w:rPr>
                <w:rFonts w:eastAsiaTheme="minorHAnsi"/>
                <w:szCs w:val="22"/>
              </w:rPr>
            </w:pPr>
            <w:r w:rsidRPr="00A31E67">
              <w:rPr>
                <w:szCs w:val="22"/>
              </w:rPr>
              <w:t> </w:t>
            </w:r>
          </w:p>
        </w:tc>
      </w:tr>
      <w:tr w:rsidR="00A31E67" w:rsidRPr="00A31E67" w14:paraId="49CEC4E9" w14:textId="77777777" w:rsidTr="00A31E67">
        <w:trPr>
          <w:trHeight w:val="375"/>
        </w:trPr>
        <w:tc>
          <w:tcPr>
            <w:tcW w:w="8632" w:type="dxa"/>
            <w:gridSpan w:val="7"/>
            <w:tcBorders>
              <w:top w:val="nil"/>
              <w:left w:val="single" w:sz="8" w:space="0" w:color="auto"/>
              <w:bottom w:val="nil"/>
              <w:right w:val="single" w:sz="8" w:space="0" w:color="000000"/>
            </w:tcBorders>
            <w:noWrap/>
            <w:tcMar>
              <w:top w:w="0" w:type="dxa"/>
              <w:left w:w="108" w:type="dxa"/>
              <w:bottom w:w="0" w:type="dxa"/>
              <w:right w:w="108" w:type="dxa"/>
            </w:tcMar>
            <w:vAlign w:val="bottom"/>
            <w:hideMark/>
          </w:tcPr>
          <w:p w14:paraId="14733ACB" w14:textId="3ECD7B1F" w:rsidR="00A31E67" w:rsidRDefault="00BD6807">
            <w:pPr>
              <w:rPr>
                <w:szCs w:val="22"/>
              </w:rPr>
            </w:pPr>
            <w:hyperlink r:id="rId8" w:history="1">
              <w:r w:rsidR="00A31E67" w:rsidRPr="00A31E67">
                <w:rPr>
                  <w:rStyle w:val="Hyperlink"/>
                  <w:szCs w:val="22"/>
                </w:rPr>
                <w:t>http://finance.yahoo.com</w:t>
              </w:r>
            </w:hyperlink>
            <w:r w:rsidR="00A31E67" w:rsidRPr="00A31E67">
              <w:rPr>
                <w:szCs w:val="22"/>
              </w:rPr>
              <w:t xml:space="preserve"> (last visited March 27, 2013).  P</w:t>
            </w:r>
            <w:r w:rsidR="00A31E67" w:rsidRPr="00A31E67">
              <w:rPr>
                <w:color w:val="000000"/>
                <w:szCs w:val="22"/>
                <w:vertAlign w:val="subscript"/>
              </w:rPr>
              <w:t>0</w:t>
            </w:r>
            <w:r w:rsidR="00A31E67" w:rsidRPr="00A31E67">
              <w:rPr>
                <w:szCs w:val="22"/>
              </w:rPr>
              <w:t xml:space="preserve"> is the March 26, 2013 closing price.</w:t>
            </w:r>
          </w:p>
          <w:p w14:paraId="23A3465B" w14:textId="77777777" w:rsidR="00C90A9F" w:rsidRPr="00A31E67" w:rsidRDefault="00C90A9F" w:rsidP="00543D6B">
            <w:pPr>
              <w:rPr>
                <w:rFonts w:eastAsiaTheme="minorHAnsi"/>
                <w:szCs w:val="22"/>
              </w:rPr>
            </w:pPr>
            <w:r w:rsidRPr="00C90A9F">
              <w:rPr>
                <w:rFonts w:eastAsiaTheme="minorHAnsi"/>
                <w:szCs w:val="22"/>
              </w:rPr>
              <w:t>D</w:t>
            </w:r>
            <w:r w:rsidRPr="00C90A9F">
              <w:rPr>
                <w:rFonts w:eastAsiaTheme="minorHAnsi"/>
                <w:szCs w:val="22"/>
                <w:vertAlign w:val="subscript"/>
              </w:rPr>
              <w:t>0</w:t>
            </w:r>
            <w:r w:rsidRPr="00C90A9F">
              <w:rPr>
                <w:rFonts w:eastAsiaTheme="minorHAnsi"/>
                <w:szCs w:val="22"/>
              </w:rPr>
              <w:t xml:space="preserve"> is the annualized value of the most recent dividend payment </w:t>
            </w:r>
            <w:r w:rsidR="00543D6B">
              <w:rPr>
                <w:rFonts w:eastAsiaTheme="minorHAnsi"/>
                <w:szCs w:val="22"/>
              </w:rPr>
              <w:t>on or before March 26, 2013.</w:t>
            </w:r>
          </w:p>
        </w:tc>
      </w:tr>
      <w:tr w:rsidR="00A31E67" w:rsidRPr="00A31E67" w14:paraId="33597393" w14:textId="77777777" w:rsidTr="00A31E67">
        <w:trPr>
          <w:trHeight w:val="345"/>
        </w:trPr>
        <w:tc>
          <w:tcPr>
            <w:tcW w:w="1589" w:type="dxa"/>
            <w:tcBorders>
              <w:top w:val="nil"/>
              <w:left w:val="single" w:sz="8" w:space="0" w:color="auto"/>
              <w:bottom w:val="nil"/>
              <w:right w:val="nil"/>
            </w:tcBorders>
            <w:noWrap/>
            <w:tcMar>
              <w:top w:w="0" w:type="dxa"/>
              <w:left w:w="108" w:type="dxa"/>
              <w:bottom w:w="0" w:type="dxa"/>
              <w:right w:w="108" w:type="dxa"/>
            </w:tcMar>
            <w:vAlign w:val="bottom"/>
            <w:hideMark/>
          </w:tcPr>
          <w:p w14:paraId="1C64ECCC" w14:textId="77777777" w:rsidR="00A31E67" w:rsidRPr="00A31E67" w:rsidRDefault="00A31E67">
            <w:pPr>
              <w:rPr>
                <w:rFonts w:eastAsiaTheme="minorHAnsi"/>
                <w:szCs w:val="22"/>
              </w:rPr>
            </w:pPr>
            <w:r w:rsidRPr="00A31E67">
              <w:rPr>
                <w:szCs w:val="22"/>
              </w:rPr>
              <w:t> </w:t>
            </w:r>
          </w:p>
        </w:tc>
        <w:tc>
          <w:tcPr>
            <w:tcW w:w="705" w:type="dxa"/>
            <w:noWrap/>
            <w:tcMar>
              <w:top w:w="0" w:type="dxa"/>
              <w:left w:w="108" w:type="dxa"/>
              <w:bottom w:w="0" w:type="dxa"/>
              <w:right w:w="108" w:type="dxa"/>
            </w:tcMar>
            <w:vAlign w:val="bottom"/>
            <w:hideMark/>
          </w:tcPr>
          <w:p w14:paraId="66DD12E4" w14:textId="77777777" w:rsidR="00A31E67" w:rsidRPr="00A31E67" w:rsidRDefault="00A31E67">
            <w:pPr>
              <w:rPr>
                <w:szCs w:val="22"/>
              </w:rPr>
            </w:pPr>
          </w:p>
        </w:tc>
        <w:tc>
          <w:tcPr>
            <w:tcW w:w="557" w:type="dxa"/>
            <w:noWrap/>
            <w:tcMar>
              <w:top w:w="0" w:type="dxa"/>
              <w:left w:w="108" w:type="dxa"/>
              <w:bottom w:w="0" w:type="dxa"/>
              <w:right w:w="108" w:type="dxa"/>
            </w:tcMar>
            <w:vAlign w:val="bottom"/>
            <w:hideMark/>
          </w:tcPr>
          <w:p w14:paraId="4A2AAB4A" w14:textId="77777777" w:rsidR="00A31E67" w:rsidRPr="00A31E67" w:rsidRDefault="00A31E67">
            <w:pPr>
              <w:rPr>
                <w:szCs w:val="22"/>
              </w:rPr>
            </w:pPr>
          </w:p>
        </w:tc>
        <w:tc>
          <w:tcPr>
            <w:tcW w:w="1712" w:type="dxa"/>
            <w:noWrap/>
            <w:tcMar>
              <w:top w:w="0" w:type="dxa"/>
              <w:left w:w="108" w:type="dxa"/>
              <w:bottom w:w="0" w:type="dxa"/>
              <w:right w:w="108" w:type="dxa"/>
            </w:tcMar>
            <w:vAlign w:val="bottom"/>
            <w:hideMark/>
          </w:tcPr>
          <w:p w14:paraId="61FA1664" w14:textId="77777777" w:rsidR="00A31E67" w:rsidRPr="00A31E67" w:rsidRDefault="00A31E67">
            <w:pPr>
              <w:rPr>
                <w:szCs w:val="22"/>
              </w:rPr>
            </w:pPr>
          </w:p>
        </w:tc>
        <w:tc>
          <w:tcPr>
            <w:tcW w:w="1291" w:type="dxa"/>
            <w:noWrap/>
            <w:tcMar>
              <w:top w:w="0" w:type="dxa"/>
              <w:left w:w="108" w:type="dxa"/>
              <w:bottom w:w="0" w:type="dxa"/>
              <w:right w:w="108" w:type="dxa"/>
            </w:tcMar>
            <w:vAlign w:val="bottom"/>
            <w:hideMark/>
          </w:tcPr>
          <w:p w14:paraId="5239D25E" w14:textId="77777777" w:rsidR="00A31E67" w:rsidRPr="00A31E67" w:rsidRDefault="00A31E67">
            <w:pPr>
              <w:rPr>
                <w:szCs w:val="22"/>
              </w:rPr>
            </w:pPr>
          </w:p>
        </w:tc>
        <w:tc>
          <w:tcPr>
            <w:tcW w:w="1620" w:type="dxa"/>
            <w:noWrap/>
            <w:tcMar>
              <w:top w:w="0" w:type="dxa"/>
              <w:left w:w="108" w:type="dxa"/>
              <w:bottom w:w="0" w:type="dxa"/>
              <w:right w:w="108" w:type="dxa"/>
            </w:tcMar>
            <w:vAlign w:val="bottom"/>
            <w:hideMark/>
          </w:tcPr>
          <w:p w14:paraId="0F484A66"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635AF442" w14:textId="77777777" w:rsidR="00A31E67" w:rsidRPr="00A31E67" w:rsidRDefault="00A31E67">
            <w:pPr>
              <w:rPr>
                <w:rFonts w:eastAsiaTheme="minorHAnsi"/>
                <w:szCs w:val="22"/>
              </w:rPr>
            </w:pPr>
            <w:r w:rsidRPr="00A31E67">
              <w:rPr>
                <w:szCs w:val="22"/>
              </w:rPr>
              <w:t> </w:t>
            </w:r>
          </w:p>
        </w:tc>
      </w:tr>
      <w:tr w:rsidR="00A31E67" w:rsidRPr="00A31E67" w14:paraId="1ED24A44" w14:textId="77777777" w:rsidTr="00A31E67">
        <w:trPr>
          <w:trHeight w:val="255"/>
        </w:trPr>
        <w:tc>
          <w:tcPr>
            <w:tcW w:w="2851" w:type="dxa"/>
            <w:gridSpan w:val="3"/>
            <w:tcBorders>
              <w:top w:val="nil"/>
              <w:left w:val="single" w:sz="8" w:space="0" w:color="auto"/>
              <w:bottom w:val="nil"/>
              <w:right w:val="nil"/>
            </w:tcBorders>
            <w:noWrap/>
            <w:tcMar>
              <w:top w:w="0" w:type="dxa"/>
              <w:left w:w="108" w:type="dxa"/>
              <w:bottom w:w="0" w:type="dxa"/>
              <w:right w:w="108" w:type="dxa"/>
            </w:tcMar>
            <w:vAlign w:val="bottom"/>
            <w:hideMark/>
          </w:tcPr>
          <w:p w14:paraId="09B3A1F3" w14:textId="77777777" w:rsidR="00A31E67" w:rsidRPr="00A31E67" w:rsidRDefault="00A31E67" w:rsidP="00E426F7">
            <w:pPr>
              <w:rPr>
                <w:rFonts w:eastAsiaTheme="minorHAnsi"/>
                <w:szCs w:val="22"/>
              </w:rPr>
            </w:pPr>
            <w:r w:rsidRPr="00A31E67">
              <w:rPr>
                <w:szCs w:val="22"/>
              </w:rPr>
              <w:t>Growth rate ("g")</w:t>
            </w:r>
            <w:r w:rsidR="00E426F7">
              <w:rPr>
                <w:szCs w:val="22"/>
              </w:rPr>
              <w:t xml:space="preserve"> for each</w:t>
            </w:r>
            <w:r w:rsidR="00451B3E">
              <w:rPr>
                <w:szCs w:val="22"/>
              </w:rPr>
              <w:t xml:space="preserve"> </w:t>
            </w:r>
            <w:r w:rsidR="00E426F7">
              <w:rPr>
                <w:szCs w:val="22"/>
              </w:rPr>
              <w:t>carrier</w:t>
            </w:r>
            <w:r w:rsidRPr="00A31E67">
              <w:rPr>
                <w:szCs w:val="22"/>
              </w:rPr>
              <w:t xml:space="preserve"> obtained from:</w:t>
            </w:r>
          </w:p>
        </w:tc>
        <w:tc>
          <w:tcPr>
            <w:tcW w:w="1712" w:type="dxa"/>
            <w:noWrap/>
            <w:tcMar>
              <w:top w:w="0" w:type="dxa"/>
              <w:left w:w="108" w:type="dxa"/>
              <w:bottom w:w="0" w:type="dxa"/>
              <w:right w:w="108" w:type="dxa"/>
            </w:tcMar>
            <w:vAlign w:val="bottom"/>
            <w:hideMark/>
          </w:tcPr>
          <w:p w14:paraId="4B58AF0F" w14:textId="77777777" w:rsidR="00A31E67" w:rsidRPr="00A31E67" w:rsidRDefault="00A31E67">
            <w:pPr>
              <w:rPr>
                <w:szCs w:val="22"/>
              </w:rPr>
            </w:pPr>
          </w:p>
        </w:tc>
        <w:tc>
          <w:tcPr>
            <w:tcW w:w="1291" w:type="dxa"/>
            <w:noWrap/>
            <w:tcMar>
              <w:top w:w="0" w:type="dxa"/>
              <w:left w:w="108" w:type="dxa"/>
              <w:bottom w:w="0" w:type="dxa"/>
              <w:right w:w="108" w:type="dxa"/>
            </w:tcMar>
            <w:vAlign w:val="bottom"/>
            <w:hideMark/>
          </w:tcPr>
          <w:p w14:paraId="2440ACBD" w14:textId="77777777" w:rsidR="00A31E67" w:rsidRPr="00A31E67" w:rsidRDefault="00A31E67">
            <w:pPr>
              <w:rPr>
                <w:szCs w:val="22"/>
              </w:rPr>
            </w:pPr>
          </w:p>
        </w:tc>
        <w:tc>
          <w:tcPr>
            <w:tcW w:w="1620" w:type="dxa"/>
            <w:noWrap/>
            <w:tcMar>
              <w:top w:w="0" w:type="dxa"/>
              <w:left w:w="108" w:type="dxa"/>
              <w:bottom w:w="0" w:type="dxa"/>
              <w:right w:w="108" w:type="dxa"/>
            </w:tcMar>
            <w:vAlign w:val="bottom"/>
            <w:hideMark/>
          </w:tcPr>
          <w:p w14:paraId="602FA3C7"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1EAAF052" w14:textId="77777777" w:rsidR="00A31E67" w:rsidRPr="00A31E67" w:rsidRDefault="00A31E67">
            <w:pPr>
              <w:rPr>
                <w:rFonts w:eastAsiaTheme="minorHAnsi"/>
                <w:szCs w:val="22"/>
              </w:rPr>
            </w:pPr>
            <w:r w:rsidRPr="00A31E67">
              <w:rPr>
                <w:szCs w:val="22"/>
              </w:rPr>
              <w:t> </w:t>
            </w:r>
          </w:p>
        </w:tc>
      </w:tr>
      <w:tr w:rsidR="00A31E67" w:rsidRPr="00A31E67" w14:paraId="09C73305" w14:textId="77777777" w:rsidTr="00A31E67">
        <w:trPr>
          <w:trHeight w:val="360"/>
        </w:trPr>
        <w:tc>
          <w:tcPr>
            <w:tcW w:w="5854" w:type="dxa"/>
            <w:gridSpan w:val="5"/>
            <w:tcBorders>
              <w:top w:val="nil"/>
              <w:left w:val="single" w:sz="8" w:space="0" w:color="auto"/>
              <w:bottom w:val="nil"/>
              <w:right w:val="nil"/>
            </w:tcBorders>
            <w:noWrap/>
            <w:tcMar>
              <w:top w:w="0" w:type="dxa"/>
              <w:left w:w="108" w:type="dxa"/>
              <w:bottom w:w="0" w:type="dxa"/>
              <w:right w:w="108" w:type="dxa"/>
            </w:tcMar>
            <w:vAlign w:val="bottom"/>
            <w:hideMark/>
          </w:tcPr>
          <w:p w14:paraId="0477C954" w14:textId="36E06049" w:rsidR="00A31E67" w:rsidRPr="00A31E67" w:rsidRDefault="00BD6807">
            <w:pPr>
              <w:rPr>
                <w:rFonts w:eastAsiaTheme="minorHAnsi"/>
                <w:szCs w:val="22"/>
              </w:rPr>
            </w:pPr>
            <w:hyperlink r:id="rId9" w:history="1">
              <w:r w:rsidR="00A31E67" w:rsidRPr="00A31E67">
                <w:rPr>
                  <w:rStyle w:val="Hyperlink"/>
                  <w:szCs w:val="22"/>
                </w:rPr>
                <w:t>http://finance.yahoo.com</w:t>
              </w:r>
            </w:hyperlink>
            <w:r w:rsidR="00A31E67" w:rsidRPr="00A31E67">
              <w:rPr>
                <w:szCs w:val="22"/>
              </w:rPr>
              <w:t xml:space="preserve"> (last visited March 27, 2013);</w:t>
            </w:r>
          </w:p>
        </w:tc>
        <w:tc>
          <w:tcPr>
            <w:tcW w:w="1620" w:type="dxa"/>
            <w:noWrap/>
            <w:tcMar>
              <w:top w:w="0" w:type="dxa"/>
              <w:left w:w="108" w:type="dxa"/>
              <w:bottom w:w="0" w:type="dxa"/>
              <w:right w:w="108" w:type="dxa"/>
            </w:tcMar>
            <w:vAlign w:val="bottom"/>
            <w:hideMark/>
          </w:tcPr>
          <w:p w14:paraId="02735EF5"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1F0E7C67" w14:textId="77777777" w:rsidR="00A31E67" w:rsidRPr="00A31E67" w:rsidRDefault="00A31E67">
            <w:pPr>
              <w:rPr>
                <w:rFonts w:eastAsiaTheme="minorHAnsi"/>
                <w:szCs w:val="22"/>
              </w:rPr>
            </w:pPr>
            <w:r w:rsidRPr="00A31E67">
              <w:rPr>
                <w:szCs w:val="22"/>
              </w:rPr>
              <w:t> </w:t>
            </w:r>
          </w:p>
        </w:tc>
      </w:tr>
      <w:tr w:rsidR="00A31E67" w:rsidRPr="00A31E67" w14:paraId="68022E32" w14:textId="77777777" w:rsidTr="00A31E67">
        <w:trPr>
          <w:trHeight w:val="255"/>
        </w:trPr>
        <w:tc>
          <w:tcPr>
            <w:tcW w:w="5854" w:type="dxa"/>
            <w:gridSpan w:val="5"/>
            <w:tcBorders>
              <w:top w:val="nil"/>
              <w:left w:val="single" w:sz="8" w:space="0" w:color="auto"/>
              <w:bottom w:val="nil"/>
              <w:right w:val="nil"/>
            </w:tcBorders>
            <w:noWrap/>
            <w:tcMar>
              <w:top w:w="0" w:type="dxa"/>
              <w:left w:w="108" w:type="dxa"/>
              <w:bottom w:w="0" w:type="dxa"/>
              <w:right w:w="108" w:type="dxa"/>
            </w:tcMar>
            <w:vAlign w:val="bottom"/>
            <w:hideMark/>
          </w:tcPr>
          <w:p w14:paraId="39FD08C1" w14:textId="38B071C2" w:rsidR="00A31E67" w:rsidRPr="00A31E67" w:rsidRDefault="00BD6807" w:rsidP="00E426F7">
            <w:pPr>
              <w:rPr>
                <w:rFonts w:eastAsiaTheme="minorHAnsi"/>
                <w:szCs w:val="22"/>
              </w:rPr>
            </w:pPr>
            <w:hyperlink r:id="rId10" w:history="1">
              <w:r w:rsidR="00A31E67" w:rsidRPr="00A31E67">
                <w:rPr>
                  <w:rStyle w:val="Hyperlink"/>
                  <w:szCs w:val="22"/>
                </w:rPr>
                <w:t>http://money.cnn.com</w:t>
              </w:r>
            </w:hyperlink>
            <w:r w:rsidR="00A31E67" w:rsidRPr="00A31E67">
              <w:rPr>
                <w:szCs w:val="22"/>
              </w:rPr>
              <w:t xml:space="preserve"> (last visited Mar. 27, 2013);</w:t>
            </w:r>
          </w:p>
        </w:tc>
        <w:tc>
          <w:tcPr>
            <w:tcW w:w="1620" w:type="dxa"/>
            <w:noWrap/>
            <w:tcMar>
              <w:top w:w="0" w:type="dxa"/>
              <w:left w:w="108" w:type="dxa"/>
              <w:bottom w:w="0" w:type="dxa"/>
              <w:right w:w="108" w:type="dxa"/>
            </w:tcMar>
            <w:vAlign w:val="bottom"/>
            <w:hideMark/>
          </w:tcPr>
          <w:p w14:paraId="3B45A7F5"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7A4945A8" w14:textId="77777777" w:rsidR="00A31E67" w:rsidRPr="00A31E67" w:rsidRDefault="00A31E67">
            <w:pPr>
              <w:rPr>
                <w:rFonts w:eastAsiaTheme="minorHAnsi"/>
                <w:szCs w:val="22"/>
              </w:rPr>
            </w:pPr>
            <w:r w:rsidRPr="00A31E67">
              <w:rPr>
                <w:szCs w:val="22"/>
              </w:rPr>
              <w:t> </w:t>
            </w:r>
          </w:p>
        </w:tc>
      </w:tr>
      <w:tr w:rsidR="00A31E67" w:rsidRPr="00A31E67" w14:paraId="6F8B88EB" w14:textId="77777777" w:rsidTr="00A31E67">
        <w:trPr>
          <w:trHeight w:val="255"/>
        </w:trPr>
        <w:tc>
          <w:tcPr>
            <w:tcW w:w="5854" w:type="dxa"/>
            <w:gridSpan w:val="5"/>
            <w:tcBorders>
              <w:top w:val="nil"/>
              <w:left w:val="single" w:sz="8" w:space="0" w:color="auto"/>
              <w:bottom w:val="nil"/>
              <w:right w:val="nil"/>
            </w:tcBorders>
            <w:noWrap/>
            <w:tcMar>
              <w:top w:w="0" w:type="dxa"/>
              <w:left w:w="108" w:type="dxa"/>
              <w:bottom w:w="0" w:type="dxa"/>
              <w:right w:w="108" w:type="dxa"/>
            </w:tcMar>
            <w:vAlign w:val="bottom"/>
            <w:hideMark/>
          </w:tcPr>
          <w:p w14:paraId="36B33138" w14:textId="4A2BB5FB" w:rsidR="00A31E67" w:rsidRPr="00A31E67" w:rsidRDefault="00BD6807">
            <w:pPr>
              <w:rPr>
                <w:rFonts w:eastAsiaTheme="minorHAnsi"/>
                <w:szCs w:val="22"/>
              </w:rPr>
            </w:pPr>
            <w:hyperlink r:id="rId11" w:history="1">
              <w:r w:rsidR="00A31E67" w:rsidRPr="00A31E67">
                <w:rPr>
                  <w:rStyle w:val="Hyperlink"/>
                  <w:szCs w:val="22"/>
                </w:rPr>
                <w:t>http://www.reuters.com/finance</w:t>
              </w:r>
            </w:hyperlink>
            <w:r w:rsidR="00A31E67" w:rsidRPr="00A31E67">
              <w:rPr>
                <w:szCs w:val="22"/>
              </w:rPr>
              <w:t xml:space="preserve"> (last visited Mar. 27, 2013); and</w:t>
            </w:r>
          </w:p>
        </w:tc>
        <w:tc>
          <w:tcPr>
            <w:tcW w:w="1620" w:type="dxa"/>
            <w:noWrap/>
            <w:tcMar>
              <w:top w:w="0" w:type="dxa"/>
              <w:left w:w="108" w:type="dxa"/>
              <w:bottom w:w="0" w:type="dxa"/>
              <w:right w:w="108" w:type="dxa"/>
            </w:tcMar>
            <w:vAlign w:val="bottom"/>
            <w:hideMark/>
          </w:tcPr>
          <w:p w14:paraId="13741141"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66C6B145" w14:textId="77777777" w:rsidR="00A31E67" w:rsidRPr="00A31E67" w:rsidRDefault="00A31E67">
            <w:pPr>
              <w:rPr>
                <w:rFonts w:eastAsiaTheme="minorHAnsi"/>
                <w:szCs w:val="22"/>
              </w:rPr>
            </w:pPr>
            <w:r w:rsidRPr="00A31E67">
              <w:rPr>
                <w:szCs w:val="22"/>
              </w:rPr>
              <w:t> </w:t>
            </w:r>
          </w:p>
        </w:tc>
      </w:tr>
      <w:tr w:rsidR="00A31E67" w:rsidRPr="00A31E67" w14:paraId="7E80863C" w14:textId="77777777" w:rsidTr="00A31E67">
        <w:trPr>
          <w:trHeight w:val="255"/>
        </w:trPr>
        <w:tc>
          <w:tcPr>
            <w:tcW w:w="5854" w:type="dxa"/>
            <w:gridSpan w:val="5"/>
            <w:tcBorders>
              <w:top w:val="nil"/>
              <w:left w:val="single" w:sz="8" w:space="0" w:color="auto"/>
              <w:bottom w:val="nil"/>
              <w:right w:val="nil"/>
            </w:tcBorders>
            <w:noWrap/>
            <w:tcMar>
              <w:top w:w="0" w:type="dxa"/>
              <w:left w:w="108" w:type="dxa"/>
              <w:bottom w:w="0" w:type="dxa"/>
              <w:right w:w="108" w:type="dxa"/>
            </w:tcMar>
            <w:vAlign w:val="bottom"/>
            <w:hideMark/>
          </w:tcPr>
          <w:p w14:paraId="57108BF1" w14:textId="41265B6E" w:rsidR="00A31E67" w:rsidRPr="00A31E67" w:rsidRDefault="00BD6807">
            <w:pPr>
              <w:rPr>
                <w:rFonts w:eastAsiaTheme="minorHAnsi"/>
                <w:szCs w:val="22"/>
              </w:rPr>
            </w:pPr>
            <w:hyperlink r:id="rId12" w:history="1">
              <w:r w:rsidR="00A31E67" w:rsidRPr="00A31E67">
                <w:rPr>
                  <w:rStyle w:val="Hyperlink"/>
                  <w:szCs w:val="22"/>
                </w:rPr>
                <w:t>http://www.zacks.com</w:t>
              </w:r>
            </w:hyperlink>
            <w:r w:rsidR="00A31E67" w:rsidRPr="00A31E67">
              <w:rPr>
                <w:szCs w:val="22"/>
              </w:rPr>
              <w:t xml:space="preserve"> (last visited Mar. 27, 2013).</w:t>
            </w:r>
          </w:p>
        </w:tc>
        <w:tc>
          <w:tcPr>
            <w:tcW w:w="1620" w:type="dxa"/>
            <w:noWrap/>
            <w:tcMar>
              <w:top w:w="0" w:type="dxa"/>
              <w:left w:w="108" w:type="dxa"/>
              <w:bottom w:w="0" w:type="dxa"/>
              <w:right w:w="108" w:type="dxa"/>
            </w:tcMar>
            <w:vAlign w:val="bottom"/>
            <w:hideMark/>
          </w:tcPr>
          <w:p w14:paraId="30D57E09"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0950DED0" w14:textId="77777777" w:rsidR="00A31E67" w:rsidRPr="00A31E67" w:rsidRDefault="00A31E67">
            <w:pPr>
              <w:rPr>
                <w:rFonts w:eastAsiaTheme="minorHAnsi"/>
                <w:szCs w:val="22"/>
              </w:rPr>
            </w:pPr>
            <w:r w:rsidRPr="00A31E67">
              <w:rPr>
                <w:szCs w:val="22"/>
              </w:rPr>
              <w:t> </w:t>
            </w:r>
          </w:p>
        </w:tc>
      </w:tr>
      <w:tr w:rsidR="00A31E67" w:rsidRPr="00A31E67" w14:paraId="5F90BCC9" w14:textId="77777777" w:rsidTr="00A31E67">
        <w:trPr>
          <w:trHeight w:val="255"/>
        </w:trPr>
        <w:tc>
          <w:tcPr>
            <w:tcW w:w="1589" w:type="dxa"/>
            <w:tcBorders>
              <w:top w:val="nil"/>
              <w:left w:val="single" w:sz="8" w:space="0" w:color="auto"/>
              <w:bottom w:val="nil"/>
              <w:right w:val="nil"/>
            </w:tcBorders>
            <w:noWrap/>
            <w:tcMar>
              <w:top w:w="0" w:type="dxa"/>
              <w:left w:w="108" w:type="dxa"/>
              <w:bottom w:w="0" w:type="dxa"/>
              <w:right w:w="108" w:type="dxa"/>
            </w:tcMar>
            <w:vAlign w:val="center"/>
            <w:hideMark/>
          </w:tcPr>
          <w:p w14:paraId="23AAA03D" w14:textId="77777777" w:rsidR="00A31E67" w:rsidRPr="00A31E67" w:rsidRDefault="00A31E67">
            <w:pPr>
              <w:rPr>
                <w:rFonts w:eastAsiaTheme="minorHAnsi"/>
                <w:color w:val="0000FF"/>
                <w:szCs w:val="22"/>
                <w:u w:val="single"/>
              </w:rPr>
            </w:pPr>
          </w:p>
        </w:tc>
        <w:tc>
          <w:tcPr>
            <w:tcW w:w="705" w:type="dxa"/>
            <w:noWrap/>
            <w:tcMar>
              <w:top w:w="0" w:type="dxa"/>
              <w:left w:w="108" w:type="dxa"/>
              <w:bottom w:w="0" w:type="dxa"/>
              <w:right w:w="108" w:type="dxa"/>
            </w:tcMar>
            <w:vAlign w:val="bottom"/>
            <w:hideMark/>
          </w:tcPr>
          <w:p w14:paraId="63D20220" w14:textId="77777777" w:rsidR="00A31E67" w:rsidRPr="00A31E67" w:rsidRDefault="00A31E67">
            <w:pPr>
              <w:rPr>
                <w:szCs w:val="22"/>
              </w:rPr>
            </w:pPr>
          </w:p>
        </w:tc>
        <w:tc>
          <w:tcPr>
            <w:tcW w:w="557" w:type="dxa"/>
            <w:noWrap/>
            <w:tcMar>
              <w:top w:w="0" w:type="dxa"/>
              <w:left w:w="108" w:type="dxa"/>
              <w:bottom w:w="0" w:type="dxa"/>
              <w:right w:w="108" w:type="dxa"/>
            </w:tcMar>
            <w:vAlign w:val="bottom"/>
            <w:hideMark/>
          </w:tcPr>
          <w:p w14:paraId="0AA867C9" w14:textId="77777777" w:rsidR="00A31E67" w:rsidRPr="00A31E67" w:rsidRDefault="00A31E67">
            <w:pPr>
              <w:rPr>
                <w:szCs w:val="22"/>
              </w:rPr>
            </w:pPr>
          </w:p>
        </w:tc>
        <w:tc>
          <w:tcPr>
            <w:tcW w:w="1712" w:type="dxa"/>
            <w:noWrap/>
            <w:tcMar>
              <w:top w:w="0" w:type="dxa"/>
              <w:left w:w="108" w:type="dxa"/>
              <w:bottom w:w="0" w:type="dxa"/>
              <w:right w:w="108" w:type="dxa"/>
            </w:tcMar>
            <w:vAlign w:val="bottom"/>
            <w:hideMark/>
          </w:tcPr>
          <w:p w14:paraId="79A23B8B" w14:textId="77777777" w:rsidR="00A31E67" w:rsidRPr="00A31E67" w:rsidRDefault="00A31E67">
            <w:pPr>
              <w:rPr>
                <w:szCs w:val="22"/>
              </w:rPr>
            </w:pPr>
          </w:p>
        </w:tc>
        <w:tc>
          <w:tcPr>
            <w:tcW w:w="1291" w:type="dxa"/>
            <w:noWrap/>
            <w:tcMar>
              <w:top w:w="0" w:type="dxa"/>
              <w:left w:w="108" w:type="dxa"/>
              <w:bottom w:w="0" w:type="dxa"/>
              <w:right w:w="108" w:type="dxa"/>
            </w:tcMar>
            <w:vAlign w:val="bottom"/>
            <w:hideMark/>
          </w:tcPr>
          <w:p w14:paraId="5FD3462B" w14:textId="77777777" w:rsidR="00A31E67" w:rsidRPr="00A31E67" w:rsidRDefault="00A31E67">
            <w:pPr>
              <w:rPr>
                <w:szCs w:val="22"/>
              </w:rPr>
            </w:pPr>
          </w:p>
        </w:tc>
        <w:tc>
          <w:tcPr>
            <w:tcW w:w="1620" w:type="dxa"/>
            <w:noWrap/>
            <w:tcMar>
              <w:top w:w="0" w:type="dxa"/>
              <w:left w:w="108" w:type="dxa"/>
              <w:bottom w:w="0" w:type="dxa"/>
              <w:right w:w="108" w:type="dxa"/>
            </w:tcMar>
            <w:vAlign w:val="bottom"/>
            <w:hideMark/>
          </w:tcPr>
          <w:p w14:paraId="4737D76E" w14:textId="77777777" w:rsidR="00A31E67" w:rsidRPr="00A31E67" w:rsidRDefault="00A31E67">
            <w:pPr>
              <w:rPr>
                <w:szCs w:val="22"/>
              </w:rPr>
            </w:pPr>
          </w:p>
        </w:tc>
        <w:tc>
          <w:tcPr>
            <w:tcW w:w="1158" w:type="dxa"/>
            <w:tcBorders>
              <w:top w:val="nil"/>
              <w:left w:val="nil"/>
              <w:bottom w:val="nil"/>
              <w:right w:val="single" w:sz="8" w:space="0" w:color="auto"/>
            </w:tcBorders>
            <w:noWrap/>
            <w:tcMar>
              <w:top w:w="0" w:type="dxa"/>
              <w:left w:w="108" w:type="dxa"/>
              <w:bottom w:w="0" w:type="dxa"/>
              <w:right w:w="108" w:type="dxa"/>
            </w:tcMar>
            <w:vAlign w:val="bottom"/>
            <w:hideMark/>
          </w:tcPr>
          <w:p w14:paraId="445081CF" w14:textId="77777777" w:rsidR="00A31E67" w:rsidRPr="00A31E67" w:rsidRDefault="00A31E67">
            <w:pPr>
              <w:rPr>
                <w:rFonts w:eastAsiaTheme="minorHAnsi"/>
                <w:szCs w:val="22"/>
              </w:rPr>
            </w:pPr>
            <w:r w:rsidRPr="00A31E67">
              <w:rPr>
                <w:szCs w:val="22"/>
              </w:rPr>
              <w:t> </w:t>
            </w:r>
          </w:p>
        </w:tc>
      </w:tr>
      <w:tr w:rsidR="00A31E67" w:rsidRPr="00A31E67" w14:paraId="0581B5A3" w14:textId="77777777" w:rsidTr="00A31E67">
        <w:trPr>
          <w:trHeight w:val="270"/>
        </w:trPr>
        <w:tc>
          <w:tcPr>
            <w:tcW w:w="8632" w:type="dxa"/>
            <w:gridSpan w:val="7"/>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EA75C03" w14:textId="77777777" w:rsidR="00A31E67" w:rsidRPr="00A31E67" w:rsidRDefault="00A31E67">
            <w:pPr>
              <w:rPr>
                <w:rFonts w:eastAsiaTheme="minorHAnsi"/>
                <w:szCs w:val="22"/>
              </w:rPr>
            </w:pPr>
            <w:r w:rsidRPr="00A31E67">
              <w:rPr>
                <w:szCs w:val="22"/>
              </w:rPr>
              <w:t>NA means that "g" is not available for the carrier from the source noted at the top of the table.</w:t>
            </w:r>
          </w:p>
        </w:tc>
      </w:tr>
    </w:tbl>
    <w:p w14:paraId="5C21D9D2" w14:textId="77777777" w:rsidR="00FF5CC2" w:rsidRPr="00A31E67" w:rsidRDefault="00AC220D" w:rsidP="00A31E67">
      <w:pPr>
        <w:pStyle w:val="ParaNum"/>
        <w:numPr>
          <w:ilvl w:val="0"/>
          <w:numId w:val="0"/>
        </w:numPr>
        <w:autoSpaceDE w:val="0"/>
        <w:autoSpaceDN w:val="0"/>
        <w:adjustRightInd w:val="0"/>
        <w:spacing w:after="120"/>
        <w:jc w:val="left"/>
        <w:rPr>
          <w:szCs w:val="22"/>
        </w:rPr>
      </w:pPr>
      <w:r w:rsidRPr="00A31E67">
        <w:rPr>
          <w:szCs w:val="22"/>
        </w:rPr>
        <w:t xml:space="preserve">  </w:t>
      </w:r>
      <w:r w:rsidR="00B87565" w:rsidRPr="00A31E67">
        <w:rPr>
          <w:szCs w:val="22"/>
        </w:rPr>
        <w:t xml:space="preserve">    </w:t>
      </w:r>
    </w:p>
    <w:p w14:paraId="19AE428E" w14:textId="6392DB58" w:rsidR="000544AF" w:rsidRDefault="000544AF" w:rsidP="00C2366A">
      <w:pPr>
        <w:spacing w:after="240"/>
        <w:ind w:firstLine="720"/>
        <w:rPr>
          <w:color w:val="0000FF"/>
          <w:szCs w:val="22"/>
        </w:rPr>
      </w:pPr>
      <w:r w:rsidRPr="00A31E67">
        <w:rPr>
          <w:szCs w:val="22"/>
        </w:rPr>
        <w:t xml:space="preserve">For further information regarding this proceeding, contact </w:t>
      </w:r>
      <w:r w:rsidR="00ED731E" w:rsidRPr="00A31E67">
        <w:rPr>
          <w:szCs w:val="22"/>
        </w:rPr>
        <w:t>Victoria Goldberg</w:t>
      </w:r>
      <w:r w:rsidR="00C2366A" w:rsidRPr="00A31E67">
        <w:rPr>
          <w:szCs w:val="22"/>
        </w:rPr>
        <w:t>,</w:t>
      </w:r>
      <w:r w:rsidRPr="00A31E67">
        <w:rPr>
          <w:szCs w:val="22"/>
        </w:rPr>
        <w:t xml:space="preserve"> </w:t>
      </w:r>
      <w:r w:rsidR="001F28EB" w:rsidRPr="00A31E67">
        <w:rPr>
          <w:szCs w:val="22"/>
        </w:rPr>
        <w:t>Pricing</w:t>
      </w:r>
      <w:r w:rsidRPr="00A31E67">
        <w:rPr>
          <w:szCs w:val="22"/>
        </w:rPr>
        <w:t xml:space="preserve"> Policy Division, Wireline Competition Bureau, 202</w:t>
      </w:r>
      <w:r w:rsidR="001F28EB" w:rsidRPr="00EC557F">
        <w:rPr>
          <w:szCs w:val="22"/>
        </w:rPr>
        <w:t>-418-</w:t>
      </w:r>
      <w:r w:rsidR="004D1825">
        <w:rPr>
          <w:szCs w:val="22"/>
        </w:rPr>
        <w:t>1520</w:t>
      </w:r>
      <w:r w:rsidR="004D1825" w:rsidRPr="00EC557F">
        <w:rPr>
          <w:szCs w:val="22"/>
        </w:rPr>
        <w:t xml:space="preserve"> </w:t>
      </w:r>
      <w:r w:rsidR="004B4B13" w:rsidRPr="00EC557F">
        <w:rPr>
          <w:szCs w:val="22"/>
        </w:rPr>
        <w:t xml:space="preserve">or </w:t>
      </w:r>
      <w:hyperlink r:id="rId13" w:history="1">
        <w:r w:rsidR="00ED731E" w:rsidRPr="00B65429">
          <w:rPr>
            <w:rStyle w:val="Hyperlink"/>
            <w:szCs w:val="22"/>
          </w:rPr>
          <w:t>victoria.goldberg</w:t>
        </w:r>
        <w:r w:rsidRPr="00B65429">
          <w:rPr>
            <w:rStyle w:val="Hyperlink"/>
            <w:szCs w:val="22"/>
          </w:rPr>
          <w:t>@fcc.gov</w:t>
        </w:r>
      </w:hyperlink>
      <w:r w:rsidRPr="00EC557F">
        <w:rPr>
          <w:szCs w:val="22"/>
        </w:rPr>
        <w:t>.</w:t>
      </w:r>
      <w:r>
        <w:rPr>
          <w:szCs w:val="22"/>
        </w:rPr>
        <w:t xml:space="preserve"> </w:t>
      </w:r>
    </w:p>
    <w:p w14:paraId="4D3BFF54" w14:textId="77777777" w:rsidR="000544AF" w:rsidRPr="00C26B51" w:rsidRDefault="000544AF">
      <w:pPr>
        <w:autoSpaceDE w:val="0"/>
        <w:autoSpaceDN w:val="0"/>
        <w:adjustRightInd w:val="0"/>
        <w:spacing w:after="240"/>
        <w:jc w:val="center"/>
        <w:rPr>
          <w:b/>
          <w:szCs w:val="22"/>
        </w:rPr>
      </w:pPr>
      <w:r w:rsidRPr="00C26B51">
        <w:rPr>
          <w:b/>
          <w:szCs w:val="22"/>
        </w:rPr>
        <w:t>- FCC -</w:t>
      </w:r>
    </w:p>
    <w:sectPr w:rsidR="000544AF" w:rsidRPr="00C26B5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33963" w14:textId="77777777" w:rsidR="00334C5F" w:rsidRDefault="00334C5F">
      <w:r>
        <w:separator/>
      </w:r>
    </w:p>
  </w:endnote>
  <w:endnote w:type="continuationSeparator" w:id="0">
    <w:p w14:paraId="0E9599D5" w14:textId="77777777" w:rsidR="00334C5F" w:rsidRDefault="0033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6EA9F" w14:textId="77777777" w:rsidR="00282E70" w:rsidRDefault="00282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3A03D" w14:textId="77777777" w:rsidR="00282E70" w:rsidRDefault="00282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5334" w14:textId="77777777" w:rsidR="00282E70" w:rsidRDefault="00282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807">
      <w:rPr>
        <w:rStyle w:val="PageNumber"/>
        <w:noProof/>
      </w:rPr>
      <w:t>2</w:t>
    </w:r>
    <w:r>
      <w:rPr>
        <w:rStyle w:val="PageNumber"/>
      </w:rPr>
      <w:fldChar w:fldCharType="end"/>
    </w:r>
  </w:p>
  <w:p w14:paraId="6651C00A" w14:textId="77777777" w:rsidR="00282E70" w:rsidRDefault="0028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6091" w14:textId="77777777" w:rsidR="00792993" w:rsidRDefault="0079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F41DA" w14:textId="77777777" w:rsidR="00334C5F" w:rsidRDefault="00334C5F">
      <w:r>
        <w:separator/>
      </w:r>
    </w:p>
  </w:footnote>
  <w:footnote w:type="continuationSeparator" w:id="0">
    <w:p w14:paraId="6D83D086" w14:textId="77777777" w:rsidR="00334C5F" w:rsidRDefault="00334C5F">
      <w:r>
        <w:continuationSeparator/>
      </w:r>
    </w:p>
  </w:footnote>
  <w:footnote w:id="1">
    <w:p w14:paraId="3A891F79" w14:textId="77777777" w:rsidR="001065AF" w:rsidRDefault="001065AF">
      <w:pPr>
        <w:pStyle w:val="FootnoteText"/>
      </w:pPr>
      <w:r>
        <w:rPr>
          <w:rStyle w:val="FootnoteReference"/>
        </w:rPr>
        <w:footnoteRef/>
      </w:r>
      <w:r>
        <w:t xml:space="preserve"> </w:t>
      </w:r>
      <w:r w:rsidRPr="00442A55">
        <w:rPr>
          <w:i/>
        </w:rPr>
        <w:t>Prescribing the Author</w:t>
      </w:r>
      <w:r w:rsidR="00B02100" w:rsidRPr="00442A55">
        <w:rPr>
          <w:i/>
        </w:rPr>
        <w:t>ized Rate of Return: Analysis of</w:t>
      </w:r>
      <w:r w:rsidRPr="00442A55">
        <w:rPr>
          <w:i/>
        </w:rPr>
        <w:t xml:space="preserve"> Methods for Establishing Just and Reasonable Rates for Local Exchange Carriers</w:t>
      </w:r>
      <w:r>
        <w:t xml:space="preserve">, WC Docket No. </w:t>
      </w:r>
      <w:r w:rsidR="00A06ECB">
        <w:t>10-90</w:t>
      </w:r>
      <w:r w:rsidR="00B02100">
        <w:t>, Staff Report</w:t>
      </w:r>
      <w:r w:rsidR="00815C44">
        <w:t>, DA 13-</w:t>
      </w:r>
      <w:r w:rsidR="003400D5">
        <w:t xml:space="preserve">1111 </w:t>
      </w:r>
      <w:r>
        <w:t>(W</w:t>
      </w:r>
      <w:r w:rsidR="00815C44">
        <w:t>ireline Comp. Bur.</w:t>
      </w:r>
      <w:r>
        <w:t xml:space="preserve"> rel. </w:t>
      </w:r>
      <w:r w:rsidR="00A06ECB">
        <w:t>May</w:t>
      </w:r>
      <w:r>
        <w:t xml:space="preserve">. </w:t>
      </w:r>
      <w:r w:rsidR="003400D5">
        <w:t xml:space="preserve">16, </w:t>
      </w:r>
      <w:r>
        <w:t>2013) (</w:t>
      </w:r>
      <w:r w:rsidRPr="001065AF">
        <w:rPr>
          <w:i/>
        </w:rPr>
        <w:t>Staff Report</w:t>
      </w:r>
      <w:r>
        <w:t xml:space="preserve">). </w:t>
      </w:r>
    </w:p>
  </w:footnote>
  <w:footnote w:id="2">
    <w:p w14:paraId="398926BF" w14:textId="77777777" w:rsidR="00853284" w:rsidRDefault="00853284">
      <w:pPr>
        <w:pStyle w:val="FootnoteText"/>
      </w:pPr>
      <w:r>
        <w:rPr>
          <w:rStyle w:val="FootnoteReference"/>
        </w:rPr>
        <w:footnoteRef/>
      </w:r>
      <w:r>
        <w:t xml:space="preserve"> </w:t>
      </w:r>
      <w:r w:rsidRPr="00853284">
        <w:rPr>
          <w:i/>
        </w:rPr>
        <w:t>Staff Report</w:t>
      </w:r>
      <w:r>
        <w:t xml:space="preserve"> at 50, para. 1</w:t>
      </w:r>
      <w:r w:rsidR="00EC557F">
        <w:t>43</w:t>
      </w:r>
      <w:r>
        <w:t>.</w:t>
      </w:r>
    </w:p>
  </w:footnote>
  <w:footnote w:id="3">
    <w:p w14:paraId="5DA0334B" w14:textId="5963F16D" w:rsidR="00FF5CC2" w:rsidRPr="00FF5CC2" w:rsidRDefault="00FF5CC2" w:rsidP="00FF5CC2">
      <w:pPr>
        <w:pStyle w:val="FootnoteText"/>
        <w:rPr>
          <w:szCs w:val="22"/>
        </w:rPr>
      </w:pPr>
      <w:r>
        <w:rPr>
          <w:rStyle w:val="FootnoteReference"/>
        </w:rPr>
        <w:footnoteRef/>
      </w:r>
      <w:r>
        <w:t xml:space="preserve"> </w:t>
      </w:r>
      <w:r w:rsidRPr="00FF5CC2">
        <w:rPr>
          <w:i/>
        </w:rPr>
        <w:t>See</w:t>
      </w:r>
      <w:r w:rsidRPr="00FF5CC2">
        <w:t xml:space="preserve"> </w:t>
      </w:r>
      <w:r w:rsidRPr="00FF5CC2">
        <w:rPr>
          <w:i/>
        </w:rPr>
        <w:t>Wireline Competition Bureau Seeks Comment on Rate of Return Represcription Staff Report</w:t>
      </w:r>
      <w:r w:rsidRPr="00FF5CC2">
        <w:t xml:space="preserve">, WC Docket Nos. </w:t>
      </w:r>
      <w:r w:rsidRPr="00FF5CC2">
        <w:rPr>
          <w:szCs w:val="22"/>
        </w:rPr>
        <w:t xml:space="preserve">10-90, 07-135, 05-337, and 03-109, GN Docket No. 09-51, CC Docket Nos. 96-45 and 01-92, and WT Docket No. 10-208, </w:t>
      </w:r>
      <w:r>
        <w:rPr>
          <w:szCs w:val="22"/>
        </w:rPr>
        <w:t xml:space="preserve">Public Notice, </w:t>
      </w:r>
      <w:r w:rsidR="00BC469D">
        <w:rPr>
          <w:szCs w:val="22"/>
        </w:rPr>
        <w:t>DA 13-1110 (Wireline Comp. Bur.</w:t>
      </w:r>
      <w:r>
        <w:rPr>
          <w:szCs w:val="22"/>
        </w:rPr>
        <w:t xml:space="preserve"> rel. May 16, 2013).</w:t>
      </w:r>
    </w:p>
    <w:p w14:paraId="65DCB024" w14:textId="77777777" w:rsidR="00FF5CC2" w:rsidRDefault="00FF5CC2">
      <w:pPr>
        <w:pStyle w:val="FootnoteText"/>
      </w:pPr>
    </w:p>
  </w:footnote>
  <w:footnote w:id="4">
    <w:p w14:paraId="5E5E447F" w14:textId="63EF22BC" w:rsidR="00A41BEC" w:rsidRDefault="00A41BEC">
      <w:pPr>
        <w:pStyle w:val="FootnoteText"/>
      </w:pPr>
      <w:r>
        <w:rPr>
          <w:rStyle w:val="FootnoteReference"/>
        </w:rPr>
        <w:footnoteRef/>
      </w:r>
      <w:r>
        <w:t xml:space="preserve"> </w:t>
      </w:r>
      <w:r w:rsidRPr="00A41BEC">
        <w:t xml:space="preserve">An Excel version of this data is available at </w:t>
      </w:r>
      <w:hyperlink r:id="rId1" w:history="1">
        <w:r w:rsidRPr="00C26B51">
          <w:rPr>
            <w:color w:val="0000FF"/>
            <w:u w:val="single"/>
          </w:rPr>
          <w:t>http://www.fcc.gov/encyclopedia/rate-return-public-notice-and-dcf-model-data-spreadsheet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E49D" w14:textId="77777777" w:rsidR="00792993" w:rsidRDefault="00792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5683" w14:textId="77777777" w:rsidR="00792993" w:rsidRDefault="00792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0AC2" w14:textId="77777777" w:rsidR="00282E70" w:rsidRPr="00313103" w:rsidRDefault="00022778">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7216" behindDoc="0" locked="0" layoutInCell="0" allowOverlap="1" wp14:anchorId="0F7738D2" wp14:editId="6BCB8483">
              <wp:simplePos x="0" y="0"/>
              <wp:positionH relativeFrom="column">
                <wp:posOffset>3480435</wp:posOffset>
              </wp:positionH>
              <wp:positionV relativeFrom="paragraph">
                <wp:posOffset>711200</wp:posOffset>
              </wp:positionV>
              <wp:extent cx="2545715" cy="660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702E6" w14:textId="77777777" w:rsidR="00282E70" w:rsidRDefault="00282E70">
                          <w:pPr>
                            <w:jc w:val="right"/>
                            <w:rPr>
                              <w:rFonts w:ascii="Arial" w:hAnsi="Arial"/>
                              <w:sz w:val="16"/>
                            </w:rPr>
                          </w:pPr>
                          <w:r>
                            <w:rPr>
                              <w:rFonts w:ascii="Arial" w:hAnsi="Arial"/>
                              <w:sz w:val="16"/>
                            </w:rPr>
                            <w:t>News Media Information 202 / 418-0500</w:t>
                          </w:r>
                        </w:p>
                        <w:p w14:paraId="2836F897" w14:textId="77777777" w:rsidR="00282E70" w:rsidRDefault="00282E70">
                          <w:pPr>
                            <w:jc w:val="right"/>
                            <w:rPr>
                              <w:rFonts w:ascii="Arial" w:hAnsi="Arial"/>
                              <w:sz w:val="16"/>
                            </w:rPr>
                          </w:pPr>
                          <w:r>
                            <w:rPr>
                              <w:rFonts w:ascii="Arial" w:hAnsi="Arial"/>
                              <w:sz w:val="16"/>
                            </w:rPr>
                            <w:tab/>
                            <w:t>Fax-On-Demand 202 / 418-2830</w:t>
                          </w:r>
                        </w:p>
                        <w:p w14:paraId="5FEB73D3" w14:textId="77777777" w:rsidR="00282E70" w:rsidRDefault="00282E70">
                          <w:pPr>
                            <w:jc w:val="right"/>
                            <w:rPr>
                              <w:rFonts w:ascii="Arial" w:hAnsi="Arial"/>
                              <w:sz w:val="16"/>
                            </w:rPr>
                          </w:pPr>
                          <w:r>
                            <w:rPr>
                              <w:rFonts w:ascii="Arial" w:hAnsi="Arial"/>
                              <w:sz w:val="16"/>
                            </w:rPr>
                            <w:tab/>
                            <w:t>TTY 202 / 418-2555</w:t>
                          </w:r>
                        </w:p>
                        <w:p w14:paraId="66C73D9E" w14:textId="77777777" w:rsidR="00282E70" w:rsidRDefault="00282E70">
                          <w:pPr>
                            <w:jc w:val="right"/>
                            <w:rPr>
                              <w:rFonts w:ascii="Arial" w:hAnsi="Arial"/>
                              <w:sz w:val="16"/>
                            </w:rPr>
                          </w:pPr>
                          <w:r>
                            <w:rPr>
                              <w:rFonts w:ascii="Arial" w:hAnsi="Arial"/>
                              <w:sz w:val="16"/>
                            </w:rPr>
                            <w:t>Internet: http://www.fcc.gov</w:t>
                          </w:r>
                        </w:p>
                        <w:p w14:paraId="0493B9AF" w14:textId="77777777" w:rsidR="00282E70" w:rsidRDefault="00282E7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left:0;text-align:left;margin-left:274.05pt;margin-top:56pt;width:200.45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3AE4ACAAAHBQAADgAAAGRycy9lMm9Eb2MueG1srFRtb9sgEP4+af8B8T21nTppbNWp+rJMk7oX&#10;qd0PIIBjNMx5QGJ31f77DpykXbdJ0zR/wHAcD3f3PMf5xdBqspPWKTAVzU5SSqThIJTZVPTz/Wqy&#10;oMR5ZgTTYGRFH6SjF8vXr877rpRTaEALaQmCGFf2XUUb77sySRxvZMvcCXTS4GYNtmUel3aTCMt6&#10;RG91Mk3TedKDFZ0FLp1D6824SZcRv64l9x/r2klPdEUxNh9HG8d1GJPlOSs3lnWN4vsw2D9E0TJl&#10;8NIj1A3zjGyt+gWqVdyCg9qfcGgTqGvFZcwBs8nSF9ncNayTMRcsjuuOZXL/D5Z/2H2yRImKnlJi&#10;WIsU3cvBkysYyGmoTt+5Ep3uOnTzA5qR5Zip626Bf3HEwHXDzEZeWgt9I5nA6LJwMnl2dMRxAWTd&#10;vweB17Cthwg01LYNpcNiEERHlh6OzIRQOBqns3x2ls0o4bg3n6d5GqlLWHk43Vnn30poSZhU1CLz&#10;EZ3tbp0P0bDy4BIuc6CVWCmt48Ju1tfakh1DlaziFxN44aZNcDYQjo2IowWDxDvCXgg3sv5YZNM8&#10;vZoWk9V8cTbJ63w2Kc7SxSTNiqsC4y/ym9X3EGCWl40SQppbZeRBgVn+dwzve2HUTtQg6StazKaz&#10;kaI/JpnG73dJtspjQ2rVVnRxdGJlIPaNEZg2Kz1TepwnP4cfq4w1OPxjVaIMAvOjBvywHhAlaGMN&#10;4gEFYQH5QtbxFcFJA/YbJT12ZEXd1y2zkhL9zqCoiizPQwvHBU7sc+v6YGWGI0RFPSXj9NqP7b7t&#10;rNo0eMMoXwOXKMBaRW08RbOXLXZbTGL/MoR2fr6OXk/v1/IHAAAA//8DAFBLAwQUAAYACAAAACEA&#10;TBB5zOAAAAALAQAADwAAAGRycy9kb3ducmV2LnhtbEyPwU7DMBBE70j8g7VI3KidKFRtiFOhCg6c&#10;UFsuvTnxkoTG6yh229Cv73Kitx3N0+xMsZpcL044hs6ThmSmQCDV3nbUaPjavT8tQIRoyJreE2r4&#10;xQCr8v6uMLn1Z9rgaRsbwSEUcqOhjXHIpQx1i86EmR+Q2Pv2ozOR5dhIO5ozh7tepkrNpTMd8YfW&#10;DLhusT5sj07Dx378fNsHdfFpFdc/9cHvLjLT+vFhen0BEXGK/zD81efqUHKnyh/JBtFreM4WCaNs&#10;JCmPYmKZLfmoNKTJXIEsC3m7obwCAAD//wMAUEsBAi0AFAAGAAgAAAAhAOSZw8D7AAAA4QEAABMA&#10;AAAAAAAAAAAAAAAAAAAAAFtDb250ZW50X1R5cGVzXS54bWxQSwECLQAUAAYACAAAACEAI7Jq4dcA&#10;AACUAQAACwAAAAAAAAAAAAAAAAAsAQAAX3JlbHMvLnJlbHNQSwECLQAUAAYACAAAACEApm3AE4AC&#10;AAAHBQAADgAAAAAAAAAAAAAAAAAsAgAAZHJzL2Uyb0RvYy54bWxQSwECLQAUAAYACAAAACEATBB5&#10;zOAAAAALAQAADwAAAAAAAAAAAAAAAADYBAAAZHJzL2Rvd25yZXYueG1sUEsFBgAAAAAEAAQA8wAA&#10;AOUFAAAAAA==&#10;" o:allowincell="f" stroked="f">
              <v:textbox inset=",0,,0">
                <w:txbxContent>
                  <w:p w14:paraId="1DF702E6" w14:textId="77777777" w:rsidR="00282E70" w:rsidRDefault="00282E70">
                    <w:pPr>
                      <w:jc w:val="right"/>
                      <w:rPr>
                        <w:rFonts w:ascii="Arial" w:hAnsi="Arial"/>
                        <w:sz w:val="16"/>
                      </w:rPr>
                    </w:pPr>
                    <w:r>
                      <w:rPr>
                        <w:rFonts w:ascii="Arial" w:hAnsi="Arial"/>
                        <w:sz w:val="16"/>
                      </w:rPr>
                      <w:t>News Media Information 202 / 418-0500</w:t>
                    </w:r>
                  </w:p>
                  <w:p w14:paraId="2836F897" w14:textId="77777777" w:rsidR="00282E70" w:rsidRDefault="00282E70">
                    <w:pPr>
                      <w:jc w:val="right"/>
                      <w:rPr>
                        <w:rFonts w:ascii="Arial" w:hAnsi="Arial"/>
                        <w:sz w:val="16"/>
                      </w:rPr>
                    </w:pPr>
                    <w:r>
                      <w:rPr>
                        <w:rFonts w:ascii="Arial" w:hAnsi="Arial"/>
                        <w:sz w:val="16"/>
                      </w:rPr>
                      <w:tab/>
                      <w:t>Fax-On-Demand 202 / 418-2830</w:t>
                    </w:r>
                  </w:p>
                  <w:p w14:paraId="5FEB73D3" w14:textId="77777777" w:rsidR="00282E70" w:rsidRDefault="00282E70">
                    <w:pPr>
                      <w:jc w:val="right"/>
                      <w:rPr>
                        <w:rFonts w:ascii="Arial" w:hAnsi="Arial"/>
                        <w:sz w:val="16"/>
                      </w:rPr>
                    </w:pPr>
                    <w:r>
                      <w:rPr>
                        <w:rFonts w:ascii="Arial" w:hAnsi="Arial"/>
                        <w:sz w:val="16"/>
                      </w:rPr>
                      <w:tab/>
                      <w:t>TTY 202 / 418-2555</w:t>
                    </w:r>
                  </w:p>
                  <w:p w14:paraId="66C73D9E" w14:textId="77777777" w:rsidR="00282E70" w:rsidRDefault="00282E70">
                    <w:pPr>
                      <w:jc w:val="right"/>
                      <w:rPr>
                        <w:rFonts w:ascii="Arial" w:hAnsi="Arial"/>
                        <w:sz w:val="16"/>
                      </w:rPr>
                    </w:pPr>
                    <w:r>
                      <w:rPr>
                        <w:rFonts w:ascii="Arial" w:hAnsi="Arial"/>
                        <w:sz w:val="16"/>
                      </w:rPr>
                      <w:t>Internet: http://www.fcc.gov</w:t>
                    </w:r>
                  </w:p>
                  <w:p w14:paraId="0493B9AF" w14:textId="77777777" w:rsidR="00282E70" w:rsidRDefault="00282E70">
                    <w:pPr>
                      <w:jc w:val="right"/>
                      <w:rPr>
                        <w:rFonts w:ascii="Arial" w:hAnsi="Arial"/>
                        <w:sz w:val="16"/>
                      </w:rPr>
                    </w:pPr>
                    <w:r>
                      <w:rPr>
                        <w:rFonts w:ascii="Arial" w:hAnsi="Arial"/>
                        <w:sz w:val="16"/>
                      </w:rPr>
                      <w:tab/>
                      <w:t>ftp.fcc.gov</w:t>
                    </w:r>
                  </w:p>
                </w:txbxContent>
              </v:textbox>
            </v:shape>
          </w:pict>
        </mc:Fallback>
      </mc:AlternateContent>
    </w:r>
    <w:r>
      <w:rPr>
        <w:rFonts w:ascii="Arial" w:hAnsi="Arial" w:cs="Arial"/>
        <w:b/>
        <w:noProof/>
        <w:sz w:val="24"/>
      </w:rPr>
      <mc:AlternateContent>
        <mc:Choice Requires="wps">
          <w:drawing>
            <wp:anchor distT="0" distB="0" distL="114300" distR="114300" simplePos="0" relativeHeight="251656192" behindDoc="0" locked="0" layoutInCell="0" allowOverlap="1" wp14:anchorId="79A78694" wp14:editId="2AE2D8AC">
              <wp:simplePos x="0" y="0"/>
              <wp:positionH relativeFrom="column">
                <wp:posOffset>604520</wp:posOffset>
              </wp:positionH>
              <wp:positionV relativeFrom="paragraph">
                <wp:posOffset>731520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213FD" w14:textId="77777777" w:rsidR="00282E70" w:rsidRDefault="00282E70">
                          <w:pPr>
                            <w:rPr>
                              <w:rFonts w:ascii="Arial Narrow" w:hAnsi="Arial Narrow"/>
                              <w:b/>
                            </w:rPr>
                          </w:pPr>
                          <w:r>
                            <w:rPr>
                              <w:rFonts w:ascii="Arial Narrow" w:hAnsi="Arial Narrow"/>
                              <w:b/>
                            </w:rPr>
                            <w:t>Federal Communications Commission</w:t>
                          </w:r>
                        </w:p>
                        <w:p w14:paraId="0C95CE58" w14:textId="77777777" w:rsidR="00282E70" w:rsidRDefault="00282E70">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6A19BC24" w14:textId="77777777" w:rsidR="00282E70" w:rsidRDefault="00282E70">
                          <w:pPr>
                            <w:rPr>
                              <w:rFonts w:ascii="Arial" w:hAnsi="Arial"/>
                              <w:sz w:val="24"/>
                            </w:rPr>
                          </w:pPr>
                          <w:r>
                            <w:rPr>
                              <w:rFonts w:ascii="Arial Narrow" w:hAnsi="Arial Narrow"/>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isYYCAAAWBQAADgAAAGRycy9lMm9Eb2MueG1srFRtb9sgEP4+af8B8T31y5w0tupUa7tMk7oX&#10;qd0PIIBjNMx5QGJ30/77Dtxk6V6kaZo/YOCO4557nuPicuw02UvrFJiaZmcpJdJwEMpsa/rxfj1b&#10;UuI8M4JpMLKmD9LRy9XzZxdDX8kcWtBCWoJBjKuGvqat932VJI63smPuDHpp0NiA7ZjHpd0mwrIB&#10;o3c6ydN0kQxgRW+BS+dw92Yy0lWM3zSS+/dN46QnuqaYm4+jjeMmjMnqglVby/pW8cc02D9k0TFl&#10;8NJjqBvmGdlZ9UuoTnELDhp/xqFLoGkUlxEDosnSn9DctayXEQsWx/XHMrn/F5a/23+wRIma5pQY&#10;1iFF93L05ApGkoXqDL2r0OmuRzc/4jayHJG6/hb4J0cMXLfMbOVLa2FoJROYXTyZnByd4rgQZDO8&#10;BYHXsJ2HGGhsbBdKh8UgGB1ZejgyE1LhuPkiS5flAk0cbYsiTZeRuoRVh9O9df61hI6ESU0tMh+j&#10;s/2t84gDXQ8u4TIHWom10jou7HZzrS3ZM1TJOn4BOh554qZNcDYQjk3maQeTxDuCLaQbWf9aZnmR&#10;XuXlbL1Yns+KppjPyvN0OUuz8gqBFGVxs/4WEsyKqlVCSHOrjDwoMCv+juHHXpi0EzVIhpqW83w+&#10;UfRHkGn8fgeyUx4bUquupsujE6sCsa+MQNis8kzpaZ48TT+WDGtw+MeqRBkE5icN+HEzRr0d1bUB&#10;8YC6sIC0IcP4mOCkBfuFkgEbs6bu845ZSYl+Y1BbZVYUoZPjopif57iwp5bNqYUZjqFq6imZptd+&#10;6v5db9W2xZsmNRt4iXpsVJRKEO6UFSIJC2y+iOnxoQjdfbqOXj+es9V3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DkmcPA+wAAAOEB&#10;AAATAAAAAAAAAAAAAAAAAAAAAABbQ29udGVudF9UeXBlc10ueG1sUEsBAi0AFAAGAAgAAAAhACOy&#10;auHXAAAAlAEAAAsAAAAAAAAAAAAAAAAALAEAAF9yZWxzLy5yZWxzUEsBAi0AFAAGAAgAAAAhABy7&#10;IrGGAgAAFgUAAA4AAAAAAAAAAAAAAAAALAIAAGRycy9lMm9Eb2MueG1sUEsBAi0AFAAGAAgAAAAh&#10;AGBZ2b/eAAAACgEAAA8AAAAAAAAAAAAAAAAA3gQAAGRycy9kb3ducmV2LnhtbFBLBQYAAAAABAAE&#10;APMAAADpBQAAAAA=&#10;" o:allowincell="f" stroked="f">
              <v:textbox>
                <w:txbxContent>
                  <w:p w14:paraId="6C1213FD" w14:textId="77777777" w:rsidR="00282E70" w:rsidRDefault="00282E70">
                    <w:pPr>
                      <w:rPr>
                        <w:rFonts w:ascii="Arial Narrow" w:hAnsi="Arial Narrow"/>
                        <w:b/>
                      </w:rPr>
                    </w:pPr>
                    <w:r>
                      <w:rPr>
                        <w:rFonts w:ascii="Arial Narrow" w:hAnsi="Arial Narrow"/>
                        <w:b/>
                      </w:rPr>
                      <w:t>Federal Communications Commission</w:t>
                    </w:r>
                  </w:p>
                  <w:p w14:paraId="0C95CE58" w14:textId="77777777" w:rsidR="00282E70" w:rsidRDefault="00282E70">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6A19BC24" w14:textId="77777777" w:rsidR="00282E70" w:rsidRDefault="00282E70">
                    <w:pPr>
                      <w:rPr>
                        <w:rFonts w:ascii="Arial" w:hAnsi="Arial"/>
                        <w:sz w:val="24"/>
                      </w:rPr>
                    </w:pPr>
                    <w:r>
                      <w:rPr>
                        <w:rFonts w:ascii="Arial Narrow" w:hAnsi="Arial Narrow"/>
                        <w:b/>
                      </w:rPr>
                      <w:t>Washington, D.C. 20554</w:t>
                    </w:r>
                  </w:p>
                </w:txbxContent>
              </v:textbox>
            </v:shape>
          </w:pict>
        </mc:Fallback>
      </mc:AlternateContent>
    </w:r>
    <w:r>
      <w:rPr>
        <w:rFonts w:ascii="Arial" w:hAnsi="Arial" w:cs="Arial"/>
        <w:noProof/>
      </w:rPr>
      <w:drawing>
        <wp:anchor distT="0" distB="0" distL="114300" distR="114300" simplePos="0" relativeHeight="251658240" behindDoc="0" locked="0" layoutInCell="0" allowOverlap="1" wp14:anchorId="5B9F1088" wp14:editId="004A0747">
          <wp:simplePos x="0" y="0"/>
          <wp:positionH relativeFrom="column">
            <wp:posOffset>0</wp:posOffset>
          </wp:positionH>
          <wp:positionV relativeFrom="paragraph">
            <wp:posOffset>0</wp:posOffset>
          </wp:positionV>
          <wp:extent cx="59118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2E70" w:rsidRPr="00313103">
      <w:rPr>
        <w:rFonts w:ascii="Arial" w:hAnsi="Arial" w:cs="Arial"/>
        <w:b/>
        <w:kern w:val="28"/>
        <w:sz w:val="96"/>
      </w:rPr>
      <w:t>PUBLIC NOTICE</w:t>
    </w:r>
  </w:p>
  <w:p w14:paraId="69906E9E" w14:textId="77777777" w:rsidR="00282E70" w:rsidRDefault="0002277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1" allowOverlap="1" wp14:anchorId="3305E86A" wp14:editId="04B1F824">
              <wp:simplePos x="0" y="0"/>
              <wp:positionH relativeFrom="column">
                <wp:posOffset>-177165</wp:posOffset>
              </wp:positionH>
              <wp:positionV relativeFrom="paragraph">
                <wp:posOffset>697865</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95pt" to="481.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m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wyn01TcI3ezxJS3AONdf4j1x0KkxJLEB2JyWnrPEgH6B0S7lF6I6SM&#10;bkuF+hIvppNpDHBaChYOA8zZw76SFp1I6Jf4hToA2QPM6qNikazlhK1vc0+EvM4BL1Xgg1RAzm12&#10;bYhvi3Sxnq/n+SifzNajPK3r0YdNlY9mm+z9tH5XV1WdfQ/SsrxoBWNcBXX35szyvzP/9kyubTW0&#10;51CG5JE9pghi7/8oOnoZ7Ls2wl6zy86GagRboR8j+PZ2QsP/uo6ony989QMAAP//AwBQSwMEFAAG&#10;AAgAAAAhAALpkineAAAACwEAAA8AAABkcnMvZG93bnJldi54bWxMj0FPwzAMhe9I/IfISFymLV2R&#10;Bi1NJwT0xoUB4uo1pq1onK7JtsKvx0iT4Gb7PT1/r1hPrlcHGkPn2cBykYAirr3tuDHw+lLNb0CF&#10;iGyx90wGvijAujw/KzC3/sjPdNjERkkIhxwNtDEOudahbslhWPiBWLQPPzqMso6NtiMeJdz1Ok2S&#10;lXbYsXxocaD7lurPzd4ZCNUb7arvWT1L3q8aT+nu4ekRjbm8mO5uQUWa4p8ZfvEFHUph2vo926B6&#10;A/P0OhOrCEkmgziyVboEtT1ddFno/x3KHwAAAP//AwBQSwECLQAUAAYACAAAACEAtoM4kv4AAADh&#10;AQAAEwAAAAAAAAAAAAAAAAAAAAAAW0NvbnRlbnRfVHlwZXNdLnhtbFBLAQItABQABgAIAAAAIQA4&#10;/SH/1gAAAJQBAAALAAAAAAAAAAAAAAAAAC8BAABfcmVscy8ucmVsc1BLAQItABQABgAIAAAAIQDD&#10;e8mpEwIAACkEAAAOAAAAAAAAAAAAAAAAAC4CAABkcnMvZTJvRG9jLnhtbFBLAQItABQABgAIAAAA&#10;IQAC6ZIp3gAAAAsBAAAPAAAAAAAAAAAAAAAAAG0EAABkcnMvZG93bnJldi54bWxQSwUGAAAAAAQA&#10;BADzAAAAeAUAAAAA&#10;"/>
          </w:pict>
        </mc:Fallback>
      </mc:AlternateContent>
    </w:r>
  </w:p>
  <w:p w14:paraId="64F0A1CD" w14:textId="77777777" w:rsidR="00282E70" w:rsidRDefault="00282E7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6A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56A32"/>
    <w:multiLevelType w:val="hybridMultilevel"/>
    <w:tmpl w:val="C104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8333276"/>
    <w:multiLevelType w:val="hybridMultilevel"/>
    <w:tmpl w:val="0B620C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EAC5A86"/>
    <w:multiLevelType w:val="hybridMultilevel"/>
    <w:tmpl w:val="CB260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52C21CE8"/>
    <w:multiLevelType w:val="hybridMultilevel"/>
    <w:tmpl w:val="3EF23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A220C8D"/>
    <w:multiLevelType w:val="hybridMultilevel"/>
    <w:tmpl w:val="75EEB8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08A28768"/>
    <w:lvl w:ilvl="0">
      <w:start w:val="1"/>
      <w:numFmt w:val="decimal"/>
      <w:lvlText w:val="%1."/>
      <w:lvlJc w:val="left"/>
      <w:pPr>
        <w:tabs>
          <w:tab w:val="num" w:pos="1080"/>
        </w:tabs>
        <w:ind w:left="0" w:firstLine="720"/>
      </w:pPr>
      <w:rPr>
        <w:b w:val="0"/>
      </w:rPr>
    </w:lvl>
  </w:abstractNum>
  <w:abstractNum w:abstractNumId="21">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4"/>
  </w:num>
  <w:num w:numId="3">
    <w:abstractNumId w:val="19"/>
  </w:num>
  <w:num w:numId="4">
    <w:abstractNumId w:val="6"/>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3"/>
  </w:num>
  <w:num w:numId="12">
    <w:abstractNumId w:val="9"/>
  </w:num>
  <w:num w:numId="13">
    <w:abstractNumId w:val="11"/>
  </w:num>
  <w:num w:numId="14">
    <w:abstractNumId w:val="2"/>
  </w:num>
  <w:num w:numId="15">
    <w:abstractNumId w:val="23"/>
  </w:num>
  <w:num w:numId="16">
    <w:abstractNumId w:val="1"/>
  </w:num>
  <w:num w:numId="17">
    <w:abstractNumId w:val="10"/>
  </w:num>
  <w:num w:numId="18">
    <w:abstractNumId w:val="5"/>
  </w:num>
  <w:num w:numId="19">
    <w:abstractNumId w:val="7"/>
  </w:num>
  <w:num w:numId="20">
    <w:abstractNumId w:val="4"/>
  </w:num>
  <w:num w:numId="21">
    <w:abstractNumId w:val="12"/>
  </w:num>
  <w:num w:numId="22">
    <w:abstractNumId w:val="16"/>
  </w:num>
  <w:num w:numId="23">
    <w:abstractNumId w:val="18"/>
  </w:num>
  <w:num w:numId="24">
    <w:abstractNumId w:val="21"/>
  </w:num>
  <w:num w:numId="25">
    <w:abstractNumId w:val="3"/>
  </w:num>
  <w:num w:numId="26">
    <w:abstractNumId w:val="8"/>
  </w:num>
  <w:num w:numId="27">
    <w:abstractNumId w:val="15"/>
  </w:num>
  <w:num w:numId="28">
    <w:abstractNumId w:val="22"/>
  </w:num>
  <w:num w:numId="29">
    <w:abstractNumId w:val="0"/>
  </w:num>
  <w:num w:numId="30">
    <w:abstractNumId w:val="20"/>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AF"/>
    <w:rsid w:val="00004C10"/>
    <w:rsid w:val="000066C7"/>
    <w:rsid w:val="00006EB5"/>
    <w:rsid w:val="00022778"/>
    <w:rsid w:val="0004292F"/>
    <w:rsid w:val="00045FE6"/>
    <w:rsid w:val="000470A4"/>
    <w:rsid w:val="000544AF"/>
    <w:rsid w:val="0005565D"/>
    <w:rsid w:val="00061645"/>
    <w:rsid w:val="000672A0"/>
    <w:rsid w:val="00070FEF"/>
    <w:rsid w:val="000A729A"/>
    <w:rsid w:val="000D6AC1"/>
    <w:rsid w:val="000F253E"/>
    <w:rsid w:val="001065AF"/>
    <w:rsid w:val="001133CB"/>
    <w:rsid w:val="00123637"/>
    <w:rsid w:val="0012495B"/>
    <w:rsid w:val="00131DE9"/>
    <w:rsid w:val="0014103B"/>
    <w:rsid w:val="001502AF"/>
    <w:rsid w:val="00190A2D"/>
    <w:rsid w:val="001F28EB"/>
    <w:rsid w:val="001F364B"/>
    <w:rsid w:val="001F481A"/>
    <w:rsid w:val="00226B4E"/>
    <w:rsid w:val="002274AB"/>
    <w:rsid w:val="0023415C"/>
    <w:rsid w:val="00261F99"/>
    <w:rsid w:val="00282E70"/>
    <w:rsid w:val="0028338A"/>
    <w:rsid w:val="002F4EB8"/>
    <w:rsid w:val="00313103"/>
    <w:rsid w:val="00334C5F"/>
    <w:rsid w:val="003400D5"/>
    <w:rsid w:val="00343B48"/>
    <w:rsid w:val="00356A51"/>
    <w:rsid w:val="00362F47"/>
    <w:rsid w:val="00363690"/>
    <w:rsid w:val="003667B6"/>
    <w:rsid w:val="0038068D"/>
    <w:rsid w:val="003822A9"/>
    <w:rsid w:val="003831B3"/>
    <w:rsid w:val="003A41D8"/>
    <w:rsid w:val="003B39D8"/>
    <w:rsid w:val="003C3D22"/>
    <w:rsid w:val="003D39B5"/>
    <w:rsid w:val="003E6916"/>
    <w:rsid w:val="0043558A"/>
    <w:rsid w:val="00442A55"/>
    <w:rsid w:val="00445606"/>
    <w:rsid w:val="00445E1A"/>
    <w:rsid w:val="00451B3E"/>
    <w:rsid w:val="00453176"/>
    <w:rsid w:val="004B4B13"/>
    <w:rsid w:val="004D1825"/>
    <w:rsid w:val="004F4ED1"/>
    <w:rsid w:val="00504115"/>
    <w:rsid w:val="00507F98"/>
    <w:rsid w:val="00522656"/>
    <w:rsid w:val="00524F31"/>
    <w:rsid w:val="0052555F"/>
    <w:rsid w:val="00535EB0"/>
    <w:rsid w:val="00543D6B"/>
    <w:rsid w:val="00551D02"/>
    <w:rsid w:val="00574C31"/>
    <w:rsid w:val="005B118B"/>
    <w:rsid w:val="005C593E"/>
    <w:rsid w:val="005E4AC1"/>
    <w:rsid w:val="00620019"/>
    <w:rsid w:val="00635F8B"/>
    <w:rsid w:val="00653F0A"/>
    <w:rsid w:val="00657CBC"/>
    <w:rsid w:val="0069130A"/>
    <w:rsid w:val="006A00F4"/>
    <w:rsid w:val="006A6EDC"/>
    <w:rsid w:val="006D6392"/>
    <w:rsid w:val="006E6E0B"/>
    <w:rsid w:val="007061D5"/>
    <w:rsid w:val="007272C5"/>
    <w:rsid w:val="007456FF"/>
    <w:rsid w:val="0078078B"/>
    <w:rsid w:val="00792993"/>
    <w:rsid w:val="007B2C8E"/>
    <w:rsid w:val="007C0541"/>
    <w:rsid w:val="007E4E14"/>
    <w:rsid w:val="007F167F"/>
    <w:rsid w:val="00815C44"/>
    <w:rsid w:val="00836EC1"/>
    <w:rsid w:val="00837112"/>
    <w:rsid w:val="00853284"/>
    <w:rsid w:val="00885736"/>
    <w:rsid w:val="008B0E08"/>
    <w:rsid w:val="008C650C"/>
    <w:rsid w:val="008D0B86"/>
    <w:rsid w:val="008D1A2B"/>
    <w:rsid w:val="008E41F4"/>
    <w:rsid w:val="008E6E6A"/>
    <w:rsid w:val="00912159"/>
    <w:rsid w:val="009220C5"/>
    <w:rsid w:val="00930C36"/>
    <w:rsid w:val="00937631"/>
    <w:rsid w:val="00945F0F"/>
    <w:rsid w:val="00947686"/>
    <w:rsid w:val="0095215A"/>
    <w:rsid w:val="00964717"/>
    <w:rsid w:val="00964D94"/>
    <w:rsid w:val="00984B3F"/>
    <w:rsid w:val="009877D0"/>
    <w:rsid w:val="00987959"/>
    <w:rsid w:val="009964C1"/>
    <w:rsid w:val="009A7B40"/>
    <w:rsid w:val="009C2219"/>
    <w:rsid w:val="00A0036F"/>
    <w:rsid w:val="00A06ECB"/>
    <w:rsid w:val="00A13211"/>
    <w:rsid w:val="00A15929"/>
    <w:rsid w:val="00A308B6"/>
    <w:rsid w:val="00A31E67"/>
    <w:rsid w:val="00A41BEC"/>
    <w:rsid w:val="00A5078F"/>
    <w:rsid w:val="00A555CF"/>
    <w:rsid w:val="00A626A5"/>
    <w:rsid w:val="00A731B5"/>
    <w:rsid w:val="00A825E1"/>
    <w:rsid w:val="00A86171"/>
    <w:rsid w:val="00A939AB"/>
    <w:rsid w:val="00A96906"/>
    <w:rsid w:val="00AC220D"/>
    <w:rsid w:val="00AE7D85"/>
    <w:rsid w:val="00AF1F6F"/>
    <w:rsid w:val="00AF30FF"/>
    <w:rsid w:val="00B02100"/>
    <w:rsid w:val="00B111DF"/>
    <w:rsid w:val="00B126D8"/>
    <w:rsid w:val="00B435D5"/>
    <w:rsid w:val="00B61DCC"/>
    <w:rsid w:val="00B65429"/>
    <w:rsid w:val="00B81AD0"/>
    <w:rsid w:val="00B87565"/>
    <w:rsid w:val="00B93D02"/>
    <w:rsid w:val="00BC1085"/>
    <w:rsid w:val="00BC469D"/>
    <w:rsid w:val="00BD6807"/>
    <w:rsid w:val="00BD6A45"/>
    <w:rsid w:val="00BD718C"/>
    <w:rsid w:val="00BF1F21"/>
    <w:rsid w:val="00C02696"/>
    <w:rsid w:val="00C03C7B"/>
    <w:rsid w:val="00C20FF1"/>
    <w:rsid w:val="00C2366A"/>
    <w:rsid w:val="00C26B51"/>
    <w:rsid w:val="00C43058"/>
    <w:rsid w:val="00C63D78"/>
    <w:rsid w:val="00C67AC5"/>
    <w:rsid w:val="00C734FF"/>
    <w:rsid w:val="00C90A9F"/>
    <w:rsid w:val="00C929B9"/>
    <w:rsid w:val="00CA7F87"/>
    <w:rsid w:val="00CE5444"/>
    <w:rsid w:val="00CF78B1"/>
    <w:rsid w:val="00D067FD"/>
    <w:rsid w:val="00D223DC"/>
    <w:rsid w:val="00D2355C"/>
    <w:rsid w:val="00D35E51"/>
    <w:rsid w:val="00D420F8"/>
    <w:rsid w:val="00D536F5"/>
    <w:rsid w:val="00D55132"/>
    <w:rsid w:val="00D56747"/>
    <w:rsid w:val="00D73466"/>
    <w:rsid w:val="00DA16EB"/>
    <w:rsid w:val="00DB793D"/>
    <w:rsid w:val="00DD1537"/>
    <w:rsid w:val="00E02CCD"/>
    <w:rsid w:val="00E06D50"/>
    <w:rsid w:val="00E2028A"/>
    <w:rsid w:val="00E259D2"/>
    <w:rsid w:val="00E25A78"/>
    <w:rsid w:val="00E27C8A"/>
    <w:rsid w:val="00E426F7"/>
    <w:rsid w:val="00E5569D"/>
    <w:rsid w:val="00E65A7D"/>
    <w:rsid w:val="00EC467A"/>
    <w:rsid w:val="00EC557F"/>
    <w:rsid w:val="00ED3219"/>
    <w:rsid w:val="00ED731E"/>
    <w:rsid w:val="00F00BC7"/>
    <w:rsid w:val="00F02E0A"/>
    <w:rsid w:val="00F1780A"/>
    <w:rsid w:val="00F83962"/>
    <w:rsid w:val="00FA0642"/>
    <w:rsid w:val="00FA71EF"/>
    <w:rsid w:val="00FC0449"/>
    <w:rsid w:val="00FF4C74"/>
    <w:rsid w:val="00FF5CC2"/>
    <w:rsid w:val="00FF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D2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rsid w:val="00B435D5"/>
    <w:rPr>
      <w:sz w:val="18"/>
      <w:szCs w:val="18"/>
    </w:rPr>
  </w:style>
  <w:style w:type="paragraph" w:styleId="CommentText">
    <w:name w:val="annotation text"/>
    <w:basedOn w:val="Normal"/>
    <w:link w:val="CommentTextChar"/>
    <w:rsid w:val="00B435D5"/>
    <w:rPr>
      <w:sz w:val="24"/>
      <w:szCs w:val="24"/>
    </w:rPr>
  </w:style>
  <w:style w:type="character" w:customStyle="1" w:styleId="CommentTextChar">
    <w:name w:val="Comment Text Char"/>
    <w:link w:val="CommentText"/>
    <w:rsid w:val="00B435D5"/>
    <w:rPr>
      <w:sz w:val="24"/>
      <w:szCs w:val="24"/>
    </w:rPr>
  </w:style>
  <w:style w:type="paragraph" w:styleId="CommentSubject">
    <w:name w:val="annotation subject"/>
    <w:basedOn w:val="CommentText"/>
    <w:next w:val="CommentText"/>
    <w:link w:val="CommentSubjectChar"/>
    <w:rsid w:val="00B435D5"/>
    <w:rPr>
      <w:b/>
      <w:bCs/>
      <w:sz w:val="20"/>
      <w:szCs w:val="20"/>
    </w:rPr>
  </w:style>
  <w:style w:type="character" w:customStyle="1" w:styleId="CommentSubjectChar">
    <w:name w:val="Comment Subject Char"/>
    <w:link w:val="CommentSubject"/>
    <w:rsid w:val="00B435D5"/>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C02696"/>
    <w:rPr>
      <w:lang w:val="en-US" w:eastAsia="en-US" w:bidi="ar-SA"/>
    </w:rPr>
  </w:style>
  <w:style w:type="paragraph" w:styleId="Revision">
    <w:name w:val="Revision"/>
    <w:hidden/>
    <w:uiPriority w:val="99"/>
    <w:semiHidden/>
    <w:rsid w:val="00A132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rFonts w:ascii="Times New Roman" w:hAnsi="Times New Roman"/>
      <w:sz w:val="20"/>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character" w:styleId="CommentReference">
    <w:name w:val="annotation reference"/>
    <w:rsid w:val="00B435D5"/>
    <w:rPr>
      <w:sz w:val="18"/>
      <w:szCs w:val="18"/>
    </w:rPr>
  </w:style>
  <w:style w:type="paragraph" w:styleId="CommentText">
    <w:name w:val="annotation text"/>
    <w:basedOn w:val="Normal"/>
    <w:link w:val="CommentTextChar"/>
    <w:rsid w:val="00B435D5"/>
    <w:rPr>
      <w:sz w:val="24"/>
      <w:szCs w:val="24"/>
    </w:rPr>
  </w:style>
  <w:style w:type="character" w:customStyle="1" w:styleId="CommentTextChar">
    <w:name w:val="Comment Text Char"/>
    <w:link w:val="CommentText"/>
    <w:rsid w:val="00B435D5"/>
    <w:rPr>
      <w:sz w:val="24"/>
      <w:szCs w:val="24"/>
    </w:rPr>
  </w:style>
  <w:style w:type="paragraph" w:styleId="CommentSubject">
    <w:name w:val="annotation subject"/>
    <w:basedOn w:val="CommentText"/>
    <w:next w:val="CommentText"/>
    <w:link w:val="CommentSubjectChar"/>
    <w:rsid w:val="00B435D5"/>
    <w:rPr>
      <w:b/>
      <w:bCs/>
      <w:sz w:val="20"/>
      <w:szCs w:val="20"/>
    </w:rPr>
  </w:style>
  <w:style w:type="character" w:customStyle="1" w:styleId="CommentSubjectChar">
    <w:name w:val="Comment Subject Char"/>
    <w:link w:val="CommentSubject"/>
    <w:rsid w:val="00B435D5"/>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sid w:val="00C02696"/>
    <w:rPr>
      <w:lang w:val="en-US" w:eastAsia="en-US" w:bidi="ar-SA"/>
    </w:rPr>
  </w:style>
  <w:style w:type="paragraph" w:styleId="Revision">
    <w:name w:val="Revision"/>
    <w:hidden/>
    <w:uiPriority w:val="99"/>
    <w:semiHidden/>
    <w:rsid w:val="00A132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7537">
      <w:bodyDiv w:val="1"/>
      <w:marLeft w:val="0"/>
      <w:marRight w:val="0"/>
      <w:marTop w:val="0"/>
      <w:marBottom w:val="0"/>
      <w:divBdr>
        <w:top w:val="none" w:sz="0" w:space="0" w:color="auto"/>
        <w:left w:val="none" w:sz="0" w:space="0" w:color="auto"/>
        <w:bottom w:val="none" w:sz="0" w:space="0" w:color="auto"/>
        <w:right w:val="none" w:sz="0" w:space="0" w:color="auto"/>
      </w:divBdr>
    </w:div>
    <w:div w:id="20787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13" Type="http://schemas.openxmlformats.org/officeDocument/2006/relationships/hyperlink" Target="file:///C:\Users\Craig.Glenn\AppData\Local\Microsoft\Windows\Temporary%20Internet%20Files\Content.Outlook\QZHN61IA\victoria.goldberg@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ck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uters.com/fin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oney.cn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inance.yahoo.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rate-return-public-notice-and-dcf-model-data-spreadshe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3088</Characters>
  <Application>Microsoft Office Word</Application>
  <DocSecurity>0</DocSecurity>
  <Lines>196</Lines>
  <Paragraphs>109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3592</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2012-08-08T18:47:00Z</cp:lastPrinted>
  <dcterms:created xsi:type="dcterms:W3CDTF">2013-06-07T15:19:00Z</dcterms:created>
  <dcterms:modified xsi:type="dcterms:W3CDTF">2013-06-07T15:19:00Z</dcterms:modified>
  <cp:category> </cp:category>
  <cp:contentStatus> </cp:contentStatus>
</cp:coreProperties>
</file>