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10EBB" w14:textId="341F0C18" w:rsidR="00614DD1" w:rsidRPr="008D4177" w:rsidRDefault="00614DD1">
      <w:pPr>
        <w:jc w:val="right"/>
        <w:rPr>
          <w:rFonts w:ascii="Times New Roman" w:hAnsi="Times New Roman"/>
          <w:b/>
          <w:snapToGrid w:val="0"/>
          <w:sz w:val="22"/>
          <w:szCs w:val="22"/>
        </w:rPr>
      </w:pPr>
      <w:bookmarkStart w:id="0" w:name="_GoBack"/>
      <w:bookmarkEnd w:id="0"/>
      <w:r w:rsidRPr="008D4177">
        <w:rPr>
          <w:rFonts w:ascii="Times New Roman" w:hAnsi="Times New Roman"/>
          <w:b/>
          <w:snapToGrid w:val="0"/>
          <w:sz w:val="22"/>
          <w:szCs w:val="22"/>
        </w:rPr>
        <w:t>DA 13-</w:t>
      </w:r>
      <w:r w:rsidR="00E6303C">
        <w:rPr>
          <w:rFonts w:ascii="Times New Roman" w:hAnsi="Times New Roman"/>
          <w:b/>
          <w:snapToGrid w:val="0"/>
          <w:sz w:val="22"/>
          <w:szCs w:val="22"/>
        </w:rPr>
        <w:t>1157</w:t>
      </w:r>
    </w:p>
    <w:p w14:paraId="7CEF1D55" w14:textId="35183B2E" w:rsidR="00614DD1" w:rsidRPr="008D4177" w:rsidRDefault="00A65D2A">
      <w:pPr>
        <w:jc w:val="right"/>
        <w:rPr>
          <w:rFonts w:ascii="Times New Roman" w:hAnsi="Times New Roman"/>
          <w:b/>
          <w:snapToGrid w:val="0"/>
          <w:sz w:val="22"/>
          <w:szCs w:val="22"/>
        </w:rPr>
      </w:pPr>
      <w:r>
        <w:rPr>
          <w:rFonts w:ascii="Times New Roman" w:hAnsi="Times New Roman"/>
          <w:b/>
          <w:snapToGrid w:val="0"/>
          <w:sz w:val="22"/>
          <w:szCs w:val="22"/>
        </w:rPr>
        <w:t xml:space="preserve">Released:  </w:t>
      </w:r>
      <w:r w:rsidR="00C55B49">
        <w:rPr>
          <w:rFonts w:ascii="Times New Roman" w:hAnsi="Times New Roman"/>
          <w:b/>
          <w:snapToGrid w:val="0"/>
          <w:sz w:val="22"/>
          <w:szCs w:val="22"/>
        </w:rPr>
        <w:t>May</w:t>
      </w:r>
      <w:r w:rsidR="00614DD1" w:rsidRPr="008D4177">
        <w:rPr>
          <w:rFonts w:ascii="Times New Roman" w:hAnsi="Times New Roman"/>
          <w:b/>
          <w:snapToGrid w:val="0"/>
          <w:sz w:val="22"/>
          <w:szCs w:val="22"/>
        </w:rPr>
        <w:t xml:space="preserve"> </w:t>
      </w:r>
      <w:r w:rsidR="00E6303C">
        <w:rPr>
          <w:rFonts w:ascii="Times New Roman" w:hAnsi="Times New Roman"/>
          <w:b/>
          <w:snapToGrid w:val="0"/>
          <w:sz w:val="22"/>
          <w:szCs w:val="22"/>
        </w:rPr>
        <w:t>17</w:t>
      </w:r>
      <w:r w:rsidR="00614DD1" w:rsidRPr="008D4177">
        <w:rPr>
          <w:rFonts w:ascii="Times New Roman" w:hAnsi="Times New Roman"/>
          <w:b/>
          <w:snapToGrid w:val="0"/>
          <w:sz w:val="22"/>
          <w:szCs w:val="22"/>
        </w:rPr>
        <w:t>, 2013</w:t>
      </w:r>
    </w:p>
    <w:p w14:paraId="7C453A50" w14:textId="77777777" w:rsidR="00614DD1" w:rsidRDefault="00614DD1" w:rsidP="00CD1024">
      <w:pPr>
        <w:rPr>
          <w:rFonts w:ascii="Times New Roman" w:hAnsi="Times New Roman"/>
          <w:b/>
          <w:sz w:val="22"/>
          <w:szCs w:val="22"/>
        </w:rPr>
      </w:pPr>
    </w:p>
    <w:p w14:paraId="06DB19C2" w14:textId="77777777" w:rsidR="00614DD1" w:rsidRPr="008D4177" w:rsidRDefault="00614DD1" w:rsidP="00CD1024">
      <w:pPr>
        <w:rPr>
          <w:rFonts w:ascii="Times New Roman" w:hAnsi="Times New Roman"/>
          <w:b/>
          <w:sz w:val="22"/>
          <w:szCs w:val="22"/>
        </w:rPr>
      </w:pPr>
    </w:p>
    <w:p w14:paraId="1E77E359" w14:textId="77777777" w:rsidR="00A6184A" w:rsidRDefault="00A6184A" w:rsidP="00D12EAC">
      <w:pPr>
        <w:jc w:val="center"/>
        <w:rPr>
          <w:rFonts w:ascii="Times New Roman" w:hAnsi="Times New Roman"/>
          <w:b/>
          <w:sz w:val="22"/>
          <w:szCs w:val="22"/>
        </w:rPr>
      </w:pPr>
      <w:r>
        <w:rPr>
          <w:rFonts w:ascii="Times New Roman" w:hAnsi="Times New Roman"/>
          <w:b/>
          <w:sz w:val="22"/>
          <w:szCs w:val="22"/>
        </w:rPr>
        <w:t xml:space="preserve">WIRELESS TELECOMMUNICATIONS BUREAU SEEKS TO </w:t>
      </w:r>
    </w:p>
    <w:p w14:paraId="785985D3" w14:textId="77777777" w:rsidR="00614DD1" w:rsidRPr="008D4177" w:rsidRDefault="00A6184A" w:rsidP="00D12EAC">
      <w:pPr>
        <w:jc w:val="center"/>
        <w:rPr>
          <w:rFonts w:ascii="Times New Roman" w:hAnsi="Times New Roman"/>
          <w:b/>
          <w:sz w:val="22"/>
          <w:szCs w:val="22"/>
        </w:rPr>
      </w:pPr>
      <w:r>
        <w:rPr>
          <w:rFonts w:ascii="Times New Roman" w:hAnsi="Times New Roman"/>
          <w:b/>
          <w:sz w:val="22"/>
          <w:szCs w:val="22"/>
        </w:rPr>
        <w:t>SUPPLEMENT THE RECORD ON</w:t>
      </w:r>
      <w:r w:rsidR="00C23422">
        <w:rPr>
          <w:rFonts w:ascii="Times New Roman" w:hAnsi="Times New Roman"/>
          <w:b/>
          <w:sz w:val="22"/>
          <w:szCs w:val="22"/>
        </w:rPr>
        <w:t xml:space="preserve"> </w:t>
      </w:r>
      <w:r w:rsidR="0003261B">
        <w:rPr>
          <w:rFonts w:ascii="Times New Roman" w:hAnsi="Times New Roman"/>
          <w:b/>
          <w:sz w:val="22"/>
          <w:szCs w:val="22"/>
        </w:rPr>
        <w:t xml:space="preserve">THE </w:t>
      </w:r>
      <w:r w:rsidR="00614DD1" w:rsidRPr="00501A46">
        <w:rPr>
          <w:rFonts w:ascii="Times New Roman" w:hAnsi="Times New Roman"/>
          <w:b/>
          <w:sz w:val="22"/>
          <w:szCs w:val="22"/>
        </w:rPr>
        <w:t xml:space="preserve">600 MHz BAND PLAN </w:t>
      </w:r>
    </w:p>
    <w:p w14:paraId="1D6FEE35" w14:textId="77777777" w:rsidR="00614DD1" w:rsidRPr="008D4177" w:rsidRDefault="00614DD1" w:rsidP="00C23422">
      <w:pPr>
        <w:jc w:val="center"/>
        <w:rPr>
          <w:rFonts w:ascii="Times New Roman" w:hAnsi="Times New Roman"/>
          <w:b/>
          <w:sz w:val="22"/>
          <w:szCs w:val="22"/>
        </w:rPr>
      </w:pPr>
    </w:p>
    <w:p w14:paraId="6A123926" w14:textId="77777777" w:rsidR="00C55B49" w:rsidRPr="00C55B49" w:rsidRDefault="00614DD1" w:rsidP="00C55B49">
      <w:pPr>
        <w:jc w:val="center"/>
        <w:rPr>
          <w:rFonts w:ascii="Times New Roman" w:hAnsi="Times New Roman"/>
          <w:b/>
          <w:sz w:val="22"/>
          <w:szCs w:val="22"/>
        </w:rPr>
      </w:pPr>
      <w:r w:rsidRPr="008D4177">
        <w:rPr>
          <w:rFonts w:ascii="Times New Roman" w:hAnsi="Times New Roman"/>
          <w:b/>
          <w:sz w:val="22"/>
          <w:szCs w:val="22"/>
        </w:rPr>
        <w:t>GN Docket No. 12-268</w:t>
      </w:r>
    </w:p>
    <w:p w14:paraId="58275519" w14:textId="77777777" w:rsidR="00C55B49" w:rsidRPr="00C55B49" w:rsidRDefault="00C55B49" w:rsidP="00C55B49">
      <w:pPr>
        <w:rPr>
          <w:rFonts w:ascii="Times New Roman" w:hAnsi="Times New Roman"/>
          <w:b/>
          <w:sz w:val="22"/>
          <w:szCs w:val="22"/>
        </w:rPr>
      </w:pPr>
    </w:p>
    <w:p w14:paraId="77F8884E" w14:textId="77777777" w:rsidR="00C55B49" w:rsidRPr="00C55B49" w:rsidRDefault="00C55B49" w:rsidP="00C55B49">
      <w:pPr>
        <w:rPr>
          <w:rFonts w:ascii="Times New Roman" w:hAnsi="Times New Roman"/>
          <w:b/>
          <w:sz w:val="22"/>
          <w:szCs w:val="22"/>
        </w:rPr>
      </w:pPr>
      <w:r w:rsidRPr="00C55B49">
        <w:rPr>
          <w:rFonts w:ascii="Times New Roman" w:hAnsi="Times New Roman"/>
          <w:b/>
          <w:sz w:val="22"/>
          <w:szCs w:val="22"/>
        </w:rPr>
        <w:t xml:space="preserve">Comment Date: </w:t>
      </w:r>
      <w:r w:rsidR="008E5A44">
        <w:rPr>
          <w:rFonts w:ascii="Times New Roman" w:hAnsi="Times New Roman"/>
          <w:b/>
          <w:sz w:val="22"/>
          <w:szCs w:val="22"/>
        </w:rPr>
        <w:t xml:space="preserve"> </w:t>
      </w:r>
      <w:r w:rsidR="00EF56F6" w:rsidRPr="00EF56F6">
        <w:rPr>
          <w:rFonts w:ascii="Times New Roman" w:hAnsi="Times New Roman"/>
          <w:sz w:val="22"/>
          <w:szCs w:val="22"/>
        </w:rPr>
        <w:t>June 14, 2013</w:t>
      </w:r>
    </w:p>
    <w:p w14:paraId="14920B94" w14:textId="77777777" w:rsidR="00380C17" w:rsidRPr="00C55B49" w:rsidRDefault="00C55B49" w:rsidP="00C55B49">
      <w:pPr>
        <w:rPr>
          <w:rFonts w:ascii="Times New Roman" w:hAnsi="Times New Roman"/>
          <w:b/>
          <w:sz w:val="22"/>
          <w:szCs w:val="22"/>
        </w:rPr>
      </w:pPr>
      <w:r w:rsidRPr="00C55B49">
        <w:rPr>
          <w:rFonts w:ascii="Times New Roman" w:hAnsi="Times New Roman"/>
          <w:b/>
          <w:sz w:val="22"/>
          <w:szCs w:val="22"/>
        </w:rPr>
        <w:t>Reply Comment Date:</w:t>
      </w:r>
      <w:r w:rsidR="008E5A44">
        <w:rPr>
          <w:rFonts w:ascii="Times New Roman" w:hAnsi="Times New Roman"/>
          <w:b/>
          <w:sz w:val="22"/>
          <w:szCs w:val="22"/>
        </w:rPr>
        <w:t xml:space="preserve"> </w:t>
      </w:r>
      <w:r w:rsidRPr="00C55B49">
        <w:rPr>
          <w:rFonts w:ascii="Times New Roman" w:hAnsi="Times New Roman"/>
          <w:b/>
          <w:sz w:val="22"/>
          <w:szCs w:val="22"/>
        </w:rPr>
        <w:t xml:space="preserve"> </w:t>
      </w:r>
      <w:r w:rsidR="00EF56F6" w:rsidRPr="00EF56F6">
        <w:rPr>
          <w:rFonts w:ascii="Times New Roman" w:hAnsi="Times New Roman"/>
          <w:sz w:val="22"/>
          <w:szCs w:val="22"/>
        </w:rPr>
        <w:t xml:space="preserve">June </w:t>
      </w:r>
      <w:r w:rsidR="00EF56F6">
        <w:rPr>
          <w:rFonts w:ascii="Times New Roman" w:hAnsi="Times New Roman"/>
          <w:sz w:val="22"/>
          <w:szCs w:val="22"/>
        </w:rPr>
        <w:t>28</w:t>
      </w:r>
      <w:r w:rsidR="00EF56F6" w:rsidRPr="00EF56F6">
        <w:rPr>
          <w:rFonts w:ascii="Times New Roman" w:hAnsi="Times New Roman"/>
          <w:sz w:val="22"/>
          <w:szCs w:val="22"/>
        </w:rPr>
        <w:t>, 2013</w:t>
      </w:r>
    </w:p>
    <w:p w14:paraId="41D2EE54" w14:textId="77777777" w:rsidR="00380C17" w:rsidRDefault="00380C17" w:rsidP="00CD1024">
      <w:pPr>
        <w:ind w:firstLine="720"/>
        <w:rPr>
          <w:rFonts w:ascii="Times New Roman" w:hAnsi="Times New Roman"/>
          <w:sz w:val="22"/>
          <w:szCs w:val="22"/>
        </w:rPr>
      </w:pPr>
    </w:p>
    <w:p w14:paraId="540DE3E2" w14:textId="77777777" w:rsidR="00B94ED7" w:rsidRDefault="00380C17" w:rsidP="00E046BA">
      <w:pPr>
        <w:ind w:firstLine="720"/>
        <w:rPr>
          <w:rFonts w:ascii="Times New Roman" w:hAnsi="Times New Roman"/>
          <w:sz w:val="22"/>
          <w:szCs w:val="22"/>
        </w:rPr>
      </w:pPr>
      <w:r w:rsidRPr="008D4177">
        <w:rPr>
          <w:rFonts w:ascii="Times New Roman" w:hAnsi="Times New Roman"/>
          <w:sz w:val="22"/>
          <w:szCs w:val="22"/>
        </w:rPr>
        <w:t>In the</w:t>
      </w:r>
      <w:r>
        <w:rPr>
          <w:rFonts w:ascii="Times New Roman" w:hAnsi="Times New Roman"/>
          <w:sz w:val="22"/>
          <w:szCs w:val="22"/>
        </w:rPr>
        <w:t xml:space="preserve"> </w:t>
      </w:r>
      <w:r>
        <w:rPr>
          <w:rFonts w:ascii="Times New Roman" w:hAnsi="Times New Roman"/>
          <w:i/>
          <w:sz w:val="22"/>
          <w:szCs w:val="22"/>
        </w:rPr>
        <w:t xml:space="preserve">Broadcast Television </w:t>
      </w:r>
      <w:r w:rsidRPr="00951053">
        <w:rPr>
          <w:rFonts w:ascii="Times New Roman" w:hAnsi="Times New Roman"/>
          <w:i/>
          <w:sz w:val="22"/>
          <w:szCs w:val="22"/>
        </w:rPr>
        <w:t>Incentive Auction</w:t>
      </w:r>
      <w:r w:rsidRPr="008D4177">
        <w:rPr>
          <w:rFonts w:ascii="Times New Roman" w:hAnsi="Times New Roman"/>
          <w:sz w:val="22"/>
          <w:szCs w:val="22"/>
        </w:rPr>
        <w:t xml:space="preserve"> </w:t>
      </w:r>
      <w:r w:rsidRPr="008D4177">
        <w:rPr>
          <w:rFonts w:ascii="Times New Roman" w:hAnsi="Times New Roman"/>
          <w:i/>
          <w:sz w:val="22"/>
          <w:szCs w:val="22"/>
        </w:rPr>
        <w:t>NPRM,</w:t>
      </w:r>
      <w:r w:rsidRPr="008D4177">
        <w:rPr>
          <w:rFonts w:ascii="Times New Roman" w:hAnsi="Times New Roman"/>
          <w:sz w:val="22"/>
          <w:szCs w:val="22"/>
        </w:rPr>
        <w:t xml:space="preserve"> the Commission sought public comment on </w:t>
      </w:r>
      <w:r>
        <w:rPr>
          <w:rFonts w:ascii="Times New Roman" w:hAnsi="Times New Roman"/>
          <w:sz w:val="22"/>
          <w:szCs w:val="22"/>
        </w:rPr>
        <w:t xml:space="preserve">creating a 600 MHz </w:t>
      </w:r>
      <w:r w:rsidR="00996ED9">
        <w:rPr>
          <w:rFonts w:ascii="Times New Roman" w:hAnsi="Times New Roman"/>
          <w:sz w:val="22"/>
          <w:szCs w:val="22"/>
        </w:rPr>
        <w:t xml:space="preserve">wireless </w:t>
      </w:r>
      <w:r w:rsidRPr="008D4177">
        <w:rPr>
          <w:rFonts w:ascii="Times New Roman" w:hAnsi="Times New Roman"/>
          <w:sz w:val="22"/>
          <w:szCs w:val="22"/>
        </w:rPr>
        <w:t>band plan fr</w:t>
      </w:r>
      <w:r>
        <w:rPr>
          <w:rFonts w:ascii="Times New Roman" w:hAnsi="Times New Roman"/>
          <w:sz w:val="22"/>
          <w:szCs w:val="22"/>
        </w:rPr>
        <w:t>om</w:t>
      </w:r>
      <w:r w:rsidRPr="008D4177">
        <w:rPr>
          <w:rFonts w:ascii="Times New Roman" w:hAnsi="Times New Roman"/>
          <w:sz w:val="22"/>
          <w:szCs w:val="22"/>
        </w:rPr>
        <w:t xml:space="preserve"> the spectrum </w:t>
      </w:r>
      <w:r>
        <w:rPr>
          <w:rFonts w:ascii="Times New Roman" w:hAnsi="Times New Roman"/>
          <w:sz w:val="22"/>
          <w:szCs w:val="22"/>
        </w:rPr>
        <w:t>made available for flexible use through the broadcast television incentive auction</w:t>
      </w:r>
      <w:r w:rsidRPr="008D4177">
        <w:rPr>
          <w:rFonts w:ascii="Times New Roman" w:hAnsi="Times New Roman"/>
          <w:sz w:val="22"/>
          <w:szCs w:val="22"/>
        </w:rPr>
        <w:t>.</w:t>
      </w:r>
      <w:r w:rsidRPr="008D4177">
        <w:rPr>
          <w:rStyle w:val="FootnoteReference"/>
          <w:szCs w:val="22"/>
        </w:rPr>
        <w:footnoteReference w:id="1"/>
      </w:r>
      <w:r w:rsidRPr="008D4177">
        <w:rPr>
          <w:rFonts w:ascii="Times New Roman" w:hAnsi="Times New Roman"/>
          <w:sz w:val="22"/>
          <w:szCs w:val="22"/>
        </w:rPr>
        <w:t xml:space="preserve"> </w:t>
      </w:r>
      <w:r>
        <w:rPr>
          <w:rFonts w:ascii="Times New Roman" w:hAnsi="Times New Roman"/>
          <w:sz w:val="22"/>
          <w:szCs w:val="22"/>
        </w:rPr>
        <w:t xml:space="preserve"> </w:t>
      </w:r>
      <w:r w:rsidR="00CD2381">
        <w:rPr>
          <w:rFonts w:ascii="Times New Roman" w:hAnsi="Times New Roman"/>
          <w:sz w:val="22"/>
          <w:szCs w:val="22"/>
        </w:rPr>
        <w:t>The</w:t>
      </w:r>
      <w:r w:rsidR="00271176" w:rsidRPr="00271176">
        <w:rPr>
          <w:rFonts w:ascii="Times New Roman" w:hAnsi="Times New Roman"/>
          <w:sz w:val="22"/>
          <w:szCs w:val="22"/>
        </w:rPr>
        <w:t xml:space="preserve"> Commission id</w:t>
      </w:r>
      <w:r w:rsidR="00996ED9">
        <w:rPr>
          <w:rFonts w:ascii="Times New Roman" w:hAnsi="Times New Roman"/>
          <w:sz w:val="22"/>
          <w:szCs w:val="22"/>
        </w:rPr>
        <w:t>entified five key policy goals</w:t>
      </w:r>
      <w:r w:rsidR="00CD2381">
        <w:rPr>
          <w:rFonts w:ascii="Times New Roman" w:hAnsi="Times New Roman"/>
          <w:sz w:val="22"/>
          <w:szCs w:val="22"/>
        </w:rPr>
        <w:t xml:space="preserve"> that would </w:t>
      </w:r>
      <w:r w:rsidR="0047122E" w:rsidRPr="0047122E">
        <w:rPr>
          <w:rFonts w:ascii="Times New Roman" w:hAnsi="Times New Roman"/>
          <w:sz w:val="22"/>
          <w:szCs w:val="22"/>
        </w:rPr>
        <w:t xml:space="preserve">provide the framework for </w:t>
      </w:r>
      <w:r w:rsidR="0047122E">
        <w:rPr>
          <w:rFonts w:ascii="Times New Roman" w:hAnsi="Times New Roman"/>
          <w:sz w:val="22"/>
          <w:szCs w:val="22"/>
        </w:rPr>
        <w:t xml:space="preserve">adopting </w:t>
      </w:r>
      <w:r w:rsidR="00A6184A">
        <w:rPr>
          <w:rFonts w:ascii="Times New Roman" w:hAnsi="Times New Roman"/>
          <w:sz w:val="22"/>
          <w:szCs w:val="22"/>
        </w:rPr>
        <w:t>a wireless</w:t>
      </w:r>
      <w:r w:rsidR="001322EC">
        <w:rPr>
          <w:rFonts w:ascii="Times New Roman" w:hAnsi="Times New Roman"/>
          <w:sz w:val="22"/>
          <w:szCs w:val="22"/>
        </w:rPr>
        <w:t xml:space="preserve"> band plan</w:t>
      </w:r>
      <w:r w:rsidR="00996ED9">
        <w:rPr>
          <w:rFonts w:ascii="Times New Roman" w:hAnsi="Times New Roman"/>
          <w:sz w:val="22"/>
          <w:szCs w:val="22"/>
        </w:rPr>
        <w:t xml:space="preserve">: </w:t>
      </w:r>
      <w:r w:rsidR="00996ED9" w:rsidRPr="00271176">
        <w:rPr>
          <w:rFonts w:ascii="Times New Roman" w:hAnsi="Times New Roman"/>
          <w:sz w:val="22"/>
          <w:szCs w:val="22"/>
        </w:rPr>
        <w:t>utility, certainty, interchangeability</w:t>
      </w:r>
      <w:r w:rsidR="00996ED9">
        <w:rPr>
          <w:rFonts w:ascii="Times New Roman" w:hAnsi="Times New Roman"/>
          <w:sz w:val="22"/>
          <w:szCs w:val="22"/>
        </w:rPr>
        <w:t>, quantity and interoperability</w:t>
      </w:r>
      <w:r w:rsidR="001322EC">
        <w:rPr>
          <w:rFonts w:ascii="Times New Roman" w:hAnsi="Times New Roman"/>
          <w:sz w:val="22"/>
          <w:szCs w:val="22"/>
        </w:rPr>
        <w:t>.</w:t>
      </w:r>
      <w:r w:rsidR="00EA5DB4">
        <w:rPr>
          <w:rStyle w:val="FootnoteReference"/>
          <w:szCs w:val="22"/>
        </w:rPr>
        <w:footnoteReference w:id="2"/>
      </w:r>
      <w:r w:rsidR="00041C63">
        <w:rPr>
          <w:rFonts w:ascii="Times New Roman" w:hAnsi="Times New Roman"/>
          <w:sz w:val="22"/>
          <w:szCs w:val="22"/>
        </w:rPr>
        <w:t xml:space="preserve">  </w:t>
      </w:r>
      <w:r w:rsidR="0087638F">
        <w:rPr>
          <w:rFonts w:ascii="Times New Roman" w:hAnsi="Times New Roman"/>
          <w:sz w:val="22"/>
          <w:szCs w:val="22"/>
        </w:rPr>
        <w:t>The majority of commenters support m</w:t>
      </w:r>
      <w:r w:rsidR="00B94ED7">
        <w:rPr>
          <w:rFonts w:ascii="Times New Roman" w:hAnsi="Times New Roman"/>
          <w:sz w:val="22"/>
          <w:szCs w:val="22"/>
        </w:rPr>
        <w:t xml:space="preserve">any </w:t>
      </w:r>
      <w:r w:rsidR="000766C8">
        <w:rPr>
          <w:rFonts w:ascii="Times New Roman" w:hAnsi="Times New Roman"/>
          <w:sz w:val="22"/>
          <w:szCs w:val="22"/>
        </w:rPr>
        <w:t xml:space="preserve">features of the proposed band plan </w:t>
      </w:r>
      <w:r w:rsidR="00996ED9">
        <w:rPr>
          <w:rFonts w:ascii="Times New Roman" w:hAnsi="Times New Roman"/>
          <w:sz w:val="22"/>
          <w:szCs w:val="22"/>
        </w:rPr>
        <w:t>framework that aim to achieve these goals</w:t>
      </w:r>
      <w:r w:rsidR="00E046BA">
        <w:rPr>
          <w:rFonts w:ascii="Times New Roman" w:hAnsi="Times New Roman"/>
          <w:sz w:val="22"/>
          <w:szCs w:val="22"/>
        </w:rPr>
        <w:t>,</w:t>
      </w:r>
      <w:r w:rsidR="00121770">
        <w:rPr>
          <w:rStyle w:val="FootnoteReference"/>
          <w:szCs w:val="22"/>
        </w:rPr>
        <w:footnoteReference w:id="3"/>
      </w:r>
      <w:r w:rsidR="00E046BA">
        <w:rPr>
          <w:rFonts w:ascii="Times New Roman" w:hAnsi="Times New Roman"/>
          <w:sz w:val="22"/>
          <w:szCs w:val="22"/>
        </w:rPr>
        <w:t xml:space="preserve"> but express a</w:t>
      </w:r>
      <w:r w:rsidR="00E046BA" w:rsidRPr="006B65D5">
        <w:rPr>
          <w:rFonts w:ascii="Times New Roman" w:hAnsi="Times New Roman"/>
          <w:sz w:val="22"/>
          <w:szCs w:val="22"/>
        </w:rPr>
        <w:t xml:space="preserve"> broad</w:t>
      </w:r>
      <w:r w:rsidR="00E046BA">
        <w:rPr>
          <w:rFonts w:ascii="Times New Roman" w:hAnsi="Times New Roman"/>
          <w:sz w:val="22"/>
          <w:szCs w:val="22"/>
        </w:rPr>
        <w:t>er</w:t>
      </w:r>
      <w:r w:rsidR="00E046BA" w:rsidRPr="006B65D5">
        <w:rPr>
          <w:rFonts w:ascii="Times New Roman" w:hAnsi="Times New Roman"/>
          <w:sz w:val="22"/>
          <w:szCs w:val="22"/>
        </w:rPr>
        <w:t xml:space="preserve"> range of views on how and where to configure the uplink and downlink blocks in the band plan</w:t>
      </w:r>
      <w:r w:rsidR="00E046BA">
        <w:rPr>
          <w:rFonts w:ascii="Times New Roman" w:hAnsi="Times New Roman"/>
          <w:sz w:val="22"/>
          <w:szCs w:val="22"/>
        </w:rPr>
        <w:t>.</w:t>
      </w:r>
      <w:r w:rsidR="00BF5790">
        <w:rPr>
          <w:rStyle w:val="FootnoteReference"/>
          <w:szCs w:val="22"/>
        </w:rPr>
        <w:footnoteReference w:id="4"/>
      </w:r>
      <w:r w:rsidR="00B94ED7">
        <w:rPr>
          <w:rFonts w:ascii="Times New Roman" w:hAnsi="Times New Roman"/>
          <w:sz w:val="22"/>
          <w:szCs w:val="22"/>
        </w:rPr>
        <w:t xml:space="preserve"> </w:t>
      </w:r>
      <w:r w:rsidR="006B65D5">
        <w:rPr>
          <w:rFonts w:ascii="Times New Roman" w:hAnsi="Times New Roman"/>
          <w:sz w:val="22"/>
          <w:szCs w:val="22"/>
        </w:rPr>
        <w:t xml:space="preserve"> </w:t>
      </w:r>
      <w:r w:rsidR="00661E3B">
        <w:rPr>
          <w:rFonts w:ascii="Times New Roman" w:hAnsi="Times New Roman"/>
          <w:sz w:val="22"/>
          <w:szCs w:val="22"/>
        </w:rPr>
        <w:t>To</w:t>
      </w:r>
      <w:r w:rsidR="00661E3B" w:rsidRPr="00661E3B">
        <w:rPr>
          <w:rFonts w:ascii="Times New Roman" w:hAnsi="Times New Roman"/>
          <w:sz w:val="22"/>
          <w:szCs w:val="22"/>
        </w:rPr>
        <w:t xml:space="preserve"> evaluate and quantify </w:t>
      </w:r>
      <w:r w:rsidR="00444ECE">
        <w:rPr>
          <w:rFonts w:ascii="Times New Roman" w:hAnsi="Times New Roman"/>
          <w:sz w:val="22"/>
          <w:szCs w:val="22"/>
        </w:rPr>
        <w:t xml:space="preserve">the </w:t>
      </w:r>
      <w:r w:rsidR="00661E3B" w:rsidRPr="00661E3B">
        <w:rPr>
          <w:rFonts w:ascii="Times New Roman" w:hAnsi="Times New Roman"/>
          <w:sz w:val="22"/>
          <w:szCs w:val="22"/>
        </w:rPr>
        <w:t>technical tradeoffs</w:t>
      </w:r>
      <w:r w:rsidR="00661E3B">
        <w:rPr>
          <w:rFonts w:ascii="Times New Roman" w:hAnsi="Times New Roman"/>
          <w:sz w:val="22"/>
          <w:szCs w:val="22"/>
        </w:rPr>
        <w:t xml:space="preserve"> associated with </w:t>
      </w:r>
      <w:r w:rsidR="003936CE">
        <w:rPr>
          <w:rFonts w:ascii="Times New Roman" w:hAnsi="Times New Roman"/>
          <w:sz w:val="22"/>
          <w:szCs w:val="22"/>
        </w:rPr>
        <w:t>configuring the</w:t>
      </w:r>
      <w:r w:rsidR="0086605D">
        <w:rPr>
          <w:rFonts w:ascii="Times New Roman" w:hAnsi="Times New Roman"/>
          <w:sz w:val="22"/>
          <w:szCs w:val="22"/>
        </w:rPr>
        <w:t xml:space="preserve"> uplink and downlink</w:t>
      </w:r>
      <w:r w:rsidR="007474F3">
        <w:rPr>
          <w:rFonts w:ascii="Times New Roman" w:hAnsi="Times New Roman"/>
          <w:sz w:val="22"/>
          <w:szCs w:val="22"/>
        </w:rPr>
        <w:t xml:space="preserve"> bands</w:t>
      </w:r>
      <w:r w:rsidR="006D39D5">
        <w:rPr>
          <w:rFonts w:ascii="Times New Roman" w:hAnsi="Times New Roman"/>
          <w:sz w:val="22"/>
          <w:szCs w:val="22"/>
        </w:rPr>
        <w:t>,</w:t>
      </w:r>
      <w:r w:rsidR="00D16150">
        <w:rPr>
          <w:rFonts w:ascii="Times New Roman" w:hAnsi="Times New Roman"/>
          <w:sz w:val="22"/>
          <w:szCs w:val="22"/>
        </w:rPr>
        <w:t xml:space="preserve"> on May 3, 2013,</w:t>
      </w:r>
      <w:r w:rsidR="006D39D5">
        <w:rPr>
          <w:rFonts w:ascii="Times New Roman" w:hAnsi="Times New Roman"/>
          <w:sz w:val="22"/>
          <w:szCs w:val="22"/>
        </w:rPr>
        <w:t xml:space="preserve"> the Commission hosted a public workshop</w:t>
      </w:r>
      <w:r w:rsidR="0086605D">
        <w:rPr>
          <w:rFonts w:ascii="Times New Roman" w:hAnsi="Times New Roman"/>
          <w:sz w:val="22"/>
          <w:szCs w:val="22"/>
        </w:rPr>
        <w:t>.</w:t>
      </w:r>
      <w:r w:rsidR="003E107D">
        <w:rPr>
          <w:rStyle w:val="FootnoteReference"/>
          <w:szCs w:val="22"/>
        </w:rPr>
        <w:footnoteReference w:id="5"/>
      </w:r>
      <w:r w:rsidR="0086605D">
        <w:rPr>
          <w:rFonts w:ascii="Times New Roman" w:hAnsi="Times New Roman"/>
          <w:sz w:val="22"/>
          <w:szCs w:val="22"/>
        </w:rPr>
        <w:t xml:space="preserve">  At the workshop</w:t>
      </w:r>
      <w:r w:rsidR="00435030">
        <w:rPr>
          <w:rFonts w:ascii="Times New Roman" w:hAnsi="Times New Roman"/>
          <w:sz w:val="22"/>
          <w:szCs w:val="22"/>
        </w:rPr>
        <w:t>,</w:t>
      </w:r>
      <w:r w:rsidR="006D39D5">
        <w:rPr>
          <w:rFonts w:ascii="Times New Roman" w:hAnsi="Times New Roman"/>
          <w:sz w:val="22"/>
          <w:szCs w:val="22"/>
        </w:rPr>
        <w:t xml:space="preserve"> </w:t>
      </w:r>
      <w:r w:rsidR="0086605D">
        <w:rPr>
          <w:rFonts w:ascii="Times New Roman" w:hAnsi="Times New Roman"/>
          <w:sz w:val="22"/>
          <w:szCs w:val="22"/>
        </w:rPr>
        <w:t xml:space="preserve">stakeholders </w:t>
      </w:r>
      <w:r w:rsidR="00435030">
        <w:rPr>
          <w:rFonts w:ascii="Times New Roman" w:hAnsi="Times New Roman"/>
          <w:sz w:val="22"/>
          <w:szCs w:val="22"/>
        </w:rPr>
        <w:t xml:space="preserve">discussed </w:t>
      </w:r>
      <w:r w:rsidR="00E7400E">
        <w:rPr>
          <w:rFonts w:ascii="Times New Roman" w:hAnsi="Times New Roman"/>
          <w:sz w:val="22"/>
          <w:szCs w:val="22"/>
        </w:rPr>
        <w:t xml:space="preserve">a </w:t>
      </w:r>
      <w:r w:rsidR="00435030">
        <w:rPr>
          <w:rFonts w:ascii="Times New Roman" w:hAnsi="Times New Roman"/>
          <w:sz w:val="22"/>
          <w:szCs w:val="22"/>
        </w:rPr>
        <w:t>variety</w:t>
      </w:r>
      <w:r w:rsidR="00E7400E">
        <w:rPr>
          <w:rFonts w:ascii="Times New Roman" w:hAnsi="Times New Roman"/>
          <w:sz w:val="22"/>
          <w:szCs w:val="22"/>
        </w:rPr>
        <w:t xml:space="preserve"> of</w:t>
      </w:r>
      <w:r w:rsidR="006D39D5">
        <w:rPr>
          <w:rFonts w:ascii="Times New Roman" w:hAnsi="Times New Roman"/>
          <w:b/>
          <w:sz w:val="22"/>
          <w:szCs w:val="22"/>
        </w:rPr>
        <w:t xml:space="preserve"> </w:t>
      </w:r>
      <w:r w:rsidR="006D39D5" w:rsidRPr="004B004D">
        <w:rPr>
          <w:rFonts w:ascii="Times New Roman" w:hAnsi="Times New Roman"/>
          <w:sz w:val="22"/>
          <w:szCs w:val="22"/>
        </w:rPr>
        <w:t xml:space="preserve">technical aspects </w:t>
      </w:r>
      <w:r w:rsidR="00685C07">
        <w:rPr>
          <w:rFonts w:ascii="Times New Roman" w:hAnsi="Times New Roman"/>
          <w:sz w:val="22"/>
          <w:szCs w:val="22"/>
        </w:rPr>
        <w:t>to consider in</w:t>
      </w:r>
      <w:r w:rsidR="006D39D5">
        <w:rPr>
          <w:rFonts w:ascii="Times New Roman" w:hAnsi="Times New Roman"/>
          <w:b/>
          <w:sz w:val="22"/>
          <w:szCs w:val="22"/>
        </w:rPr>
        <w:t xml:space="preserve"> </w:t>
      </w:r>
      <w:r w:rsidR="00685C07">
        <w:rPr>
          <w:rFonts w:ascii="Times New Roman" w:hAnsi="Times New Roman"/>
          <w:sz w:val="22"/>
          <w:szCs w:val="22"/>
        </w:rPr>
        <w:t>creating a</w:t>
      </w:r>
      <w:r w:rsidR="006D39D5">
        <w:rPr>
          <w:rFonts w:ascii="Times New Roman" w:hAnsi="Times New Roman"/>
          <w:sz w:val="22"/>
          <w:szCs w:val="22"/>
        </w:rPr>
        <w:t xml:space="preserve"> 600 MHz wireless band plan</w:t>
      </w:r>
      <w:r w:rsidR="00685C07">
        <w:rPr>
          <w:rFonts w:ascii="Times New Roman" w:hAnsi="Times New Roman"/>
          <w:sz w:val="22"/>
          <w:szCs w:val="22"/>
        </w:rPr>
        <w:t>,</w:t>
      </w:r>
      <w:r w:rsidR="005D4A5E">
        <w:rPr>
          <w:rFonts w:ascii="Times New Roman" w:hAnsi="Times New Roman"/>
          <w:sz w:val="22"/>
          <w:szCs w:val="22"/>
        </w:rPr>
        <w:t xml:space="preserve"> including </w:t>
      </w:r>
      <w:r w:rsidR="005D4A5E" w:rsidRPr="005D4A5E">
        <w:rPr>
          <w:rFonts w:ascii="Times New Roman" w:hAnsi="Times New Roman"/>
          <w:sz w:val="22"/>
          <w:szCs w:val="22"/>
        </w:rPr>
        <w:t>mobile antenna issues</w:t>
      </w:r>
      <w:r w:rsidR="005D4A5E">
        <w:rPr>
          <w:rFonts w:ascii="Times New Roman" w:hAnsi="Times New Roman"/>
          <w:sz w:val="22"/>
          <w:szCs w:val="22"/>
        </w:rPr>
        <w:t xml:space="preserve">, </w:t>
      </w:r>
      <w:r w:rsidR="005D4A5E" w:rsidRPr="005D4A5E">
        <w:rPr>
          <w:rFonts w:ascii="Times New Roman" w:hAnsi="Times New Roman"/>
          <w:sz w:val="22"/>
          <w:szCs w:val="22"/>
        </w:rPr>
        <w:t>harmonics interference</w:t>
      </w:r>
      <w:r w:rsidR="00E7400E">
        <w:rPr>
          <w:rFonts w:ascii="Times New Roman" w:hAnsi="Times New Roman"/>
          <w:sz w:val="22"/>
          <w:szCs w:val="22"/>
        </w:rPr>
        <w:t xml:space="preserve">, </w:t>
      </w:r>
      <w:r w:rsidR="00E7400E" w:rsidRPr="00E7400E">
        <w:rPr>
          <w:rFonts w:ascii="Times New Roman" w:hAnsi="Times New Roman"/>
          <w:sz w:val="22"/>
          <w:szCs w:val="22"/>
        </w:rPr>
        <w:t>intermodulation</w:t>
      </w:r>
      <w:r w:rsidR="00E7400E">
        <w:rPr>
          <w:rFonts w:ascii="Times New Roman" w:hAnsi="Times New Roman"/>
          <w:sz w:val="22"/>
          <w:szCs w:val="22"/>
        </w:rPr>
        <w:t xml:space="preserve">, and </w:t>
      </w:r>
      <w:r w:rsidR="00E7400E" w:rsidRPr="00E7400E">
        <w:rPr>
          <w:rFonts w:ascii="Times New Roman" w:hAnsi="Times New Roman"/>
          <w:sz w:val="22"/>
          <w:szCs w:val="22"/>
        </w:rPr>
        <w:t>high power services in the duplex gap</w:t>
      </w:r>
      <w:r w:rsidR="00E7400E">
        <w:rPr>
          <w:rFonts w:ascii="Times New Roman" w:hAnsi="Times New Roman"/>
          <w:sz w:val="22"/>
          <w:szCs w:val="22"/>
        </w:rPr>
        <w:t>.</w:t>
      </w:r>
      <w:r w:rsidR="00323079">
        <w:rPr>
          <w:rStyle w:val="FootnoteReference"/>
          <w:szCs w:val="22"/>
        </w:rPr>
        <w:footnoteReference w:id="6"/>
      </w:r>
      <w:r w:rsidR="00E7400E">
        <w:rPr>
          <w:rFonts w:ascii="Times New Roman" w:hAnsi="Times New Roman"/>
          <w:sz w:val="22"/>
          <w:szCs w:val="22"/>
        </w:rPr>
        <w:t xml:space="preserve">  </w:t>
      </w:r>
    </w:p>
    <w:p w14:paraId="33EC2700" w14:textId="77777777" w:rsidR="00444ECE" w:rsidRDefault="00444ECE" w:rsidP="00CD1024">
      <w:pPr>
        <w:ind w:firstLine="720"/>
        <w:rPr>
          <w:rFonts w:ascii="Times New Roman" w:hAnsi="Times New Roman"/>
          <w:sz w:val="22"/>
          <w:szCs w:val="22"/>
        </w:rPr>
      </w:pPr>
    </w:p>
    <w:p w14:paraId="05A0F2EF" w14:textId="0ECA89A0" w:rsidR="00B22144" w:rsidRDefault="006C691D" w:rsidP="007A16FD">
      <w:pPr>
        <w:ind w:firstLine="720"/>
        <w:rPr>
          <w:rFonts w:ascii="Times New Roman" w:hAnsi="Times New Roman"/>
          <w:sz w:val="22"/>
          <w:szCs w:val="22"/>
        </w:rPr>
      </w:pPr>
      <w:r>
        <w:rPr>
          <w:rFonts w:ascii="Times New Roman" w:hAnsi="Times New Roman"/>
          <w:sz w:val="22"/>
          <w:szCs w:val="22"/>
        </w:rPr>
        <w:t xml:space="preserve">As discussed in the workshop, </w:t>
      </w:r>
      <w:r w:rsidR="00D54D67">
        <w:rPr>
          <w:rFonts w:ascii="Times New Roman" w:hAnsi="Times New Roman"/>
          <w:sz w:val="22"/>
          <w:szCs w:val="22"/>
        </w:rPr>
        <w:t xml:space="preserve">many </w:t>
      </w:r>
      <w:r w:rsidR="00E046BA">
        <w:rPr>
          <w:rFonts w:ascii="Times New Roman" w:hAnsi="Times New Roman"/>
          <w:sz w:val="22"/>
          <w:szCs w:val="22"/>
        </w:rPr>
        <w:t>stakeholders</w:t>
      </w:r>
      <w:r w:rsidR="005B176D">
        <w:rPr>
          <w:rFonts w:ascii="Times New Roman" w:hAnsi="Times New Roman"/>
          <w:sz w:val="22"/>
          <w:szCs w:val="22"/>
        </w:rPr>
        <w:t xml:space="preserve"> support the “Down from 51”</w:t>
      </w:r>
      <w:r w:rsidR="00AF3575" w:rsidRPr="00AF3575">
        <w:rPr>
          <w:rFonts w:ascii="Times New Roman" w:hAnsi="Times New Roman"/>
          <w:sz w:val="22"/>
          <w:szCs w:val="22"/>
        </w:rPr>
        <w:t xml:space="preserve"> </w:t>
      </w:r>
      <w:r w:rsidR="008E5A44">
        <w:rPr>
          <w:rFonts w:ascii="Times New Roman" w:hAnsi="Times New Roman"/>
          <w:sz w:val="22"/>
          <w:szCs w:val="22"/>
        </w:rPr>
        <w:t xml:space="preserve">band plan </w:t>
      </w:r>
      <w:r w:rsidR="005B176D">
        <w:rPr>
          <w:rFonts w:ascii="Times New Roman" w:hAnsi="Times New Roman"/>
          <w:sz w:val="22"/>
          <w:szCs w:val="22"/>
        </w:rPr>
        <w:t xml:space="preserve">proposal </w:t>
      </w:r>
      <w:r w:rsidR="00996ED9">
        <w:rPr>
          <w:rFonts w:ascii="Times New Roman" w:hAnsi="Times New Roman"/>
          <w:sz w:val="22"/>
          <w:szCs w:val="22"/>
        </w:rPr>
        <w:t xml:space="preserve">– </w:t>
      </w:r>
      <w:r w:rsidR="005B176D">
        <w:rPr>
          <w:rFonts w:ascii="Times New Roman" w:hAnsi="Times New Roman"/>
          <w:sz w:val="22"/>
          <w:szCs w:val="22"/>
        </w:rPr>
        <w:t xml:space="preserve">or </w:t>
      </w:r>
      <w:r w:rsidR="00DB1EB4">
        <w:rPr>
          <w:rFonts w:ascii="Times New Roman" w:hAnsi="Times New Roman"/>
          <w:sz w:val="22"/>
          <w:szCs w:val="22"/>
        </w:rPr>
        <w:t xml:space="preserve">a </w:t>
      </w:r>
      <w:r w:rsidR="00D60CB8">
        <w:rPr>
          <w:rFonts w:ascii="Times New Roman" w:hAnsi="Times New Roman"/>
          <w:sz w:val="22"/>
          <w:szCs w:val="22"/>
        </w:rPr>
        <w:t>variation of it</w:t>
      </w:r>
      <w:r w:rsidR="00996ED9">
        <w:rPr>
          <w:rFonts w:ascii="Times New Roman" w:hAnsi="Times New Roman"/>
          <w:sz w:val="22"/>
          <w:szCs w:val="22"/>
        </w:rPr>
        <w:t xml:space="preserve"> –</w:t>
      </w:r>
      <w:r w:rsidR="00D60CB8">
        <w:rPr>
          <w:rFonts w:ascii="Times New Roman" w:hAnsi="Times New Roman"/>
          <w:sz w:val="22"/>
          <w:szCs w:val="22"/>
        </w:rPr>
        <w:t xml:space="preserve"> in which the Commission would </w:t>
      </w:r>
      <w:r w:rsidR="00D60CB8" w:rsidRPr="00D60CB8">
        <w:rPr>
          <w:rFonts w:ascii="Times New Roman" w:hAnsi="Times New Roman"/>
          <w:sz w:val="22"/>
          <w:szCs w:val="22"/>
        </w:rPr>
        <w:t>clear broadcast television channels starting at channel 51 and expand downward</w:t>
      </w:r>
      <w:r w:rsidR="0085356C">
        <w:rPr>
          <w:rFonts w:ascii="Times New Roman" w:hAnsi="Times New Roman"/>
          <w:sz w:val="22"/>
          <w:szCs w:val="22"/>
        </w:rPr>
        <w:t xml:space="preserve">: </w:t>
      </w:r>
      <w:r w:rsidR="0048161F">
        <w:rPr>
          <w:rFonts w:ascii="Times New Roman" w:hAnsi="Times New Roman"/>
          <w:sz w:val="22"/>
          <w:szCs w:val="22"/>
        </w:rPr>
        <w:t>t</w:t>
      </w:r>
      <w:r w:rsidR="008F39A2">
        <w:rPr>
          <w:rFonts w:ascii="Times New Roman" w:hAnsi="Times New Roman"/>
          <w:sz w:val="22"/>
          <w:szCs w:val="22"/>
        </w:rPr>
        <w:t xml:space="preserve">he uplink band </w:t>
      </w:r>
      <w:r w:rsidR="0048161F">
        <w:rPr>
          <w:rFonts w:ascii="Times New Roman" w:hAnsi="Times New Roman"/>
          <w:sz w:val="22"/>
          <w:szCs w:val="22"/>
        </w:rPr>
        <w:t xml:space="preserve">would </w:t>
      </w:r>
      <w:r w:rsidR="00460FFD" w:rsidRPr="00460FFD">
        <w:rPr>
          <w:rFonts w:ascii="Times New Roman" w:hAnsi="Times New Roman"/>
          <w:sz w:val="22"/>
          <w:szCs w:val="22"/>
        </w:rPr>
        <w:t>begin at channel 51 (698 MHz),</w:t>
      </w:r>
      <w:r w:rsidR="00196686">
        <w:rPr>
          <w:rFonts w:ascii="Times New Roman" w:hAnsi="Times New Roman"/>
          <w:sz w:val="22"/>
          <w:szCs w:val="22"/>
        </w:rPr>
        <w:t xml:space="preserve"> followed by </w:t>
      </w:r>
      <w:r w:rsidR="00975733">
        <w:rPr>
          <w:rFonts w:ascii="Times New Roman" w:hAnsi="Times New Roman"/>
          <w:sz w:val="22"/>
          <w:szCs w:val="22"/>
        </w:rPr>
        <w:t>a</w:t>
      </w:r>
      <w:r w:rsidR="0048161F">
        <w:rPr>
          <w:rFonts w:ascii="Times New Roman" w:hAnsi="Times New Roman"/>
          <w:sz w:val="22"/>
          <w:szCs w:val="22"/>
        </w:rPr>
        <w:t xml:space="preserve"> duplex gap, and then the </w:t>
      </w:r>
      <w:r w:rsidR="0048161F">
        <w:rPr>
          <w:rFonts w:ascii="Times New Roman" w:hAnsi="Times New Roman"/>
          <w:sz w:val="22"/>
          <w:szCs w:val="22"/>
        </w:rPr>
        <w:lastRenderedPageBreak/>
        <w:t>downlink band.</w:t>
      </w:r>
      <w:r w:rsidR="0048161F">
        <w:rPr>
          <w:rStyle w:val="FootnoteReference"/>
          <w:szCs w:val="22"/>
        </w:rPr>
        <w:footnoteReference w:id="7"/>
      </w:r>
      <w:r w:rsidR="00330CF7">
        <w:rPr>
          <w:rFonts w:ascii="Times New Roman" w:hAnsi="Times New Roman"/>
          <w:sz w:val="22"/>
          <w:szCs w:val="22"/>
        </w:rPr>
        <w:t xml:space="preserve">  </w:t>
      </w:r>
      <w:r w:rsidR="00355D3D">
        <w:rPr>
          <w:rFonts w:ascii="Times New Roman" w:hAnsi="Times New Roman"/>
          <w:sz w:val="22"/>
          <w:szCs w:val="22"/>
        </w:rPr>
        <w:t>The workshop made clear that s</w:t>
      </w:r>
      <w:r w:rsidR="00143921">
        <w:rPr>
          <w:rFonts w:ascii="Times New Roman" w:hAnsi="Times New Roman"/>
          <w:sz w:val="22"/>
          <w:szCs w:val="22"/>
        </w:rPr>
        <w:t xml:space="preserve">upport </w:t>
      </w:r>
      <w:r w:rsidR="00A10B24">
        <w:rPr>
          <w:rFonts w:ascii="Times New Roman" w:hAnsi="Times New Roman"/>
          <w:sz w:val="22"/>
          <w:szCs w:val="22"/>
        </w:rPr>
        <w:t xml:space="preserve">for </w:t>
      </w:r>
      <w:r w:rsidR="007A16FD">
        <w:rPr>
          <w:rFonts w:ascii="Times New Roman" w:hAnsi="Times New Roman"/>
          <w:sz w:val="22"/>
          <w:szCs w:val="22"/>
        </w:rPr>
        <w:t xml:space="preserve">a </w:t>
      </w:r>
      <w:r w:rsidR="00CA2EAF">
        <w:rPr>
          <w:rFonts w:ascii="Times New Roman" w:hAnsi="Times New Roman"/>
          <w:sz w:val="22"/>
          <w:szCs w:val="22"/>
        </w:rPr>
        <w:t>Down from 51</w:t>
      </w:r>
      <w:r w:rsidR="00F00BFC">
        <w:rPr>
          <w:rFonts w:ascii="Times New Roman" w:hAnsi="Times New Roman"/>
          <w:sz w:val="22"/>
          <w:szCs w:val="22"/>
        </w:rPr>
        <w:t xml:space="preserve"> </w:t>
      </w:r>
      <w:r w:rsidR="007A16FD">
        <w:rPr>
          <w:rFonts w:ascii="Times New Roman" w:hAnsi="Times New Roman"/>
          <w:sz w:val="22"/>
          <w:szCs w:val="22"/>
        </w:rPr>
        <w:t>band plan framework</w:t>
      </w:r>
      <w:r w:rsidR="00DC0779">
        <w:rPr>
          <w:rFonts w:ascii="Times New Roman" w:hAnsi="Times New Roman"/>
          <w:sz w:val="22"/>
          <w:szCs w:val="22"/>
        </w:rPr>
        <w:t xml:space="preserve"> </w:t>
      </w:r>
      <w:r w:rsidR="00A10B24">
        <w:rPr>
          <w:rFonts w:ascii="Times New Roman" w:hAnsi="Times New Roman"/>
          <w:sz w:val="22"/>
          <w:szCs w:val="22"/>
        </w:rPr>
        <w:t>is</w:t>
      </w:r>
      <w:r w:rsidR="00143921">
        <w:rPr>
          <w:rFonts w:ascii="Times New Roman" w:hAnsi="Times New Roman"/>
          <w:sz w:val="22"/>
          <w:szCs w:val="22"/>
        </w:rPr>
        <w:t xml:space="preserve"> </w:t>
      </w:r>
      <w:r w:rsidR="00E046BA">
        <w:rPr>
          <w:rFonts w:ascii="Times New Roman" w:hAnsi="Times New Roman"/>
          <w:sz w:val="22"/>
          <w:szCs w:val="22"/>
        </w:rPr>
        <w:t xml:space="preserve">primarily </w:t>
      </w:r>
      <w:r w:rsidR="00A10B24">
        <w:rPr>
          <w:rFonts w:ascii="Times New Roman" w:hAnsi="Times New Roman"/>
          <w:sz w:val="22"/>
          <w:szCs w:val="22"/>
        </w:rPr>
        <w:t xml:space="preserve">based on </w:t>
      </w:r>
      <w:r w:rsidR="00143921">
        <w:rPr>
          <w:rFonts w:ascii="Times New Roman" w:hAnsi="Times New Roman"/>
          <w:sz w:val="22"/>
          <w:szCs w:val="22"/>
        </w:rPr>
        <w:t>concerns over</w:t>
      </w:r>
      <w:r w:rsidR="001E3E4A">
        <w:rPr>
          <w:rFonts w:ascii="Times New Roman" w:hAnsi="Times New Roman"/>
          <w:sz w:val="22"/>
          <w:szCs w:val="22"/>
        </w:rPr>
        <w:t xml:space="preserve"> </w:t>
      </w:r>
      <w:r w:rsidR="00041901">
        <w:rPr>
          <w:rFonts w:ascii="Times New Roman" w:hAnsi="Times New Roman"/>
          <w:sz w:val="22"/>
          <w:szCs w:val="22"/>
        </w:rPr>
        <w:t>high power services in the duplex gap</w:t>
      </w:r>
      <w:r w:rsidR="00041901">
        <w:rPr>
          <w:rStyle w:val="FootnoteReference"/>
          <w:szCs w:val="22"/>
        </w:rPr>
        <w:footnoteReference w:id="8"/>
      </w:r>
      <w:r w:rsidR="00041901">
        <w:rPr>
          <w:rFonts w:ascii="Times New Roman" w:hAnsi="Times New Roman"/>
          <w:sz w:val="22"/>
          <w:szCs w:val="22"/>
        </w:rPr>
        <w:t xml:space="preserve"> </w:t>
      </w:r>
      <w:r w:rsidR="00975733">
        <w:rPr>
          <w:rFonts w:ascii="Times New Roman" w:hAnsi="Times New Roman"/>
          <w:sz w:val="22"/>
          <w:szCs w:val="22"/>
        </w:rPr>
        <w:t xml:space="preserve">and </w:t>
      </w:r>
      <w:r w:rsidR="00D7543E">
        <w:rPr>
          <w:rFonts w:ascii="Times New Roman" w:hAnsi="Times New Roman"/>
          <w:sz w:val="22"/>
          <w:szCs w:val="22"/>
        </w:rPr>
        <w:t>antenna design issues</w:t>
      </w:r>
      <w:r w:rsidR="00A85A0A">
        <w:rPr>
          <w:rFonts w:ascii="Times New Roman" w:hAnsi="Times New Roman"/>
          <w:sz w:val="22"/>
          <w:szCs w:val="22"/>
        </w:rPr>
        <w:t>.</w:t>
      </w:r>
      <w:r w:rsidR="00D7543E">
        <w:rPr>
          <w:rStyle w:val="FootnoteReference"/>
          <w:szCs w:val="22"/>
        </w:rPr>
        <w:footnoteReference w:id="9"/>
      </w:r>
      <w:r w:rsidR="00A85A0A">
        <w:rPr>
          <w:rFonts w:ascii="Times New Roman" w:hAnsi="Times New Roman"/>
          <w:sz w:val="22"/>
          <w:szCs w:val="22"/>
        </w:rPr>
        <w:t xml:space="preserve"> </w:t>
      </w:r>
      <w:r w:rsidR="007A16FD">
        <w:rPr>
          <w:rFonts w:ascii="Times New Roman" w:hAnsi="Times New Roman"/>
          <w:sz w:val="22"/>
          <w:szCs w:val="22"/>
        </w:rPr>
        <w:t xml:space="preserve"> </w:t>
      </w:r>
    </w:p>
    <w:p w14:paraId="0A947CB1" w14:textId="77777777" w:rsidR="00B22144" w:rsidRDefault="00B22144" w:rsidP="007A16FD">
      <w:pPr>
        <w:ind w:firstLine="720"/>
        <w:rPr>
          <w:rFonts w:ascii="Times New Roman" w:hAnsi="Times New Roman"/>
          <w:sz w:val="22"/>
          <w:szCs w:val="22"/>
        </w:rPr>
      </w:pPr>
    </w:p>
    <w:p w14:paraId="7D8038CF" w14:textId="390C2732" w:rsidR="00B22144" w:rsidRDefault="00E046BA" w:rsidP="007A16FD">
      <w:pPr>
        <w:ind w:firstLine="720"/>
        <w:rPr>
          <w:rFonts w:ascii="Times New Roman" w:hAnsi="Times New Roman"/>
          <w:sz w:val="22"/>
          <w:szCs w:val="22"/>
        </w:rPr>
      </w:pPr>
      <w:r>
        <w:rPr>
          <w:rFonts w:ascii="Times New Roman" w:hAnsi="Times New Roman"/>
          <w:sz w:val="22"/>
          <w:szCs w:val="22"/>
        </w:rPr>
        <w:t>The</w:t>
      </w:r>
      <w:r w:rsidR="00B22144">
        <w:rPr>
          <w:rFonts w:ascii="Times New Roman" w:hAnsi="Times New Roman"/>
          <w:sz w:val="22"/>
          <w:szCs w:val="22"/>
        </w:rPr>
        <w:t xml:space="preserve"> Down from 51</w:t>
      </w:r>
      <w:r w:rsidR="007A16FD">
        <w:rPr>
          <w:rFonts w:ascii="Times New Roman" w:hAnsi="Times New Roman"/>
          <w:sz w:val="22"/>
          <w:szCs w:val="22"/>
        </w:rPr>
        <w:t xml:space="preserve"> </w:t>
      </w:r>
      <w:r>
        <w:rPr>
          <w:rFonts w:ascii="Times New Roman" w:hAnsi="Times New Roman"/>
          <w:sz w:val="22"/>
          <w:szCs w:val="22"/>
        </w:rPr>
        <w:t xml:space="preserve">proposals </w:t>
      </w:r>
      <w:r w:rsidR="00A10B24">
        <w:rPr>
          <w:rFonts w:ascii="Times New Roman" w:hAnsi="Times New Roman"/>
          <w:sz w:val="22"/>
          <w:szCs w:val="22"/>
        </w:rPr>
        <w:t xml:space="preserve">in the record </w:t>
      </w:r>
      <w:r w:rsidR="007A16FD">
        <w:rPr>
          <w:rFonts w:ascii="Times New Roman" w:hAnsi="Times New Roman"/>
          <w:sz w:val="22"/>
          <w:szCs w:val="22"/>
        </w:rPr>
        <w:t>g</w:t>
      </w:r>
      <w:r w:rsidR="003B3536">
        <w:rPr>
          <w:rFonts w:ascii="Times New Roman" w:hAnsi="Times New Roman"/>
          <w:sz w:val="22"/>
          <w:szCs w:val="22"/>
        </w:rPr>
        <w:t xml:space="preserve">enerally limit the amount of </w:t>
      </w:r>
      <w:r w:rsidR="00506B3D">
        <w:rPr>
          <w:rFonts w:ascii="Times New Roman" w:hAnsi="Times New Roman"/>
          <w:sz w:val="22"/>
          <w:szCs w:val="22"/>
        </w:rPr>
        <w:t xml:space="preserve">market variation </w:t>
      </w:r>
      <w:r w:rsidR="00B90EFA">
        <w:rPr>
          <w:rFonts w:ascii="Times New Roman" w:hAnsi="Times New Roman"/>
          <w:sz w:val="22"/>
          <w:szCs w:val="22"/>
        </w:rPr>
        <w:t>that can be achieved</w:t>
      </w:r>
      <w:r>
        <w:rPr>
          <w:rFonts w:ascii="Times New Roman" w:hAnsi="Times New Roman"/>
          <w:sz w:val="22"/>
          <w:szCs w:val="22"/>
        </w:rPr>
        <w:t>, however</w:t>
      </w:r>
      <w:r w:rsidR="00B22144">
        <w:rPr>
          <w:rFonts w:ascii="Times New Roman" w:hAnsi="Times New Roman"/>
          <w:sz w:val="22"/>
          <w:szCs w:val="22"/>
        </w:rPr>
        <w:t>.</w:t>
      </w:r>
      <w:r w:rsidR="007A16FD">
        <w:rPr>
          <w:rFonts w:ascii="Times New Roman" w:hAnsi="Times New Roman"/>
          <w:sz w:val="22"/>
          <w:szCs w:val="22"/>
        </w:rPr>
        <w:t xml:space="preserve"> </w:t>
      </w:r>
      <w:r w:rsidR="000E0284">
        <w:rPr>
          <w:rFonts w:ascii="Times New Roman" w:hAnsi="Times New Roman"/>
          <w:sz w:val="22"/>
          <w:szCs w:val="22"/>
        </w:rPr>
        <w:t xml:space="preserve"> </w:t>
      </w:r>
      <w:r w:rsidR="003D60E8" w:rsidRPr="003D60E8">
        <w:rPr>
          <w:rFonts w:ascii="Times New Roman" w:hAnsi="Times New Roman"/>
          <w:sz w:val="22"/>
          <w:szCs w:val="22"/>
        </w:rPr>
        <w:t xml:space="preserve">Specifically, most of these proposals are targeted at repurposing a specific amount of paired spectrum nationwide, </w:t>
      </w:r>
      <w:r w:rsidR="00235831" w:rsidRPr="00235831">
        <w:rPr>
          <w:rFonts w:ascii="Times New Roman" w:hAnsi="Times New Roman"/>
          <w:sz w:val="22"/>
          <w:szCs w:val="22"/>
        </w:rPr>
        <w:t>and provide limited options for how to offer less spectrum in constrained markets, or additional spectrum in individual markets, and only under certain scenarios</w:t>
      </w:r>
      <w:r w:rsidR="000929FA" w:rsidRPr="003D60E8">
        <w:rPr>
          <w:rFonts w:ascii="Times New Roman" w:hAnsi="Times New Roman"/>
          <w:sz w:val="22"/>
          <w:szCs w:val="22"/>
        </w:rPr>
        <w:t>.</w:t>
      </w:r>
      <w:r w:rsidR="0046213E" w:rsidRPr="003D60E8">
        <w:rPr>
          <w:rStyle w:val="FootnoteReference"/>
          <w:szCs w:val="22"/>
        </w:rPr>
        <w:footnoteReference w:id="10"/>
      </w:r>
      <w:r w:rsidR="000929FA">
        <w:rPr>
          <w:rFonts w:ascii="Times New Roman" w:hAnsi="Times New Roman"/>
          <w:sz w:val="22"/>
          <w:szCs w:val="22"/>
        </w:rPr>
        <w:t xml:space="preserve">  </w:t>
      </w:r>
      <w:r w:rsidR="009E3265">
        <w:rPr>
          <w:rFonts w:ascii="Times New Roman" w:hAnsi="Times New Roman"/>
          <w:sz w:val="22"/>
          <w:szCs w:val="22"/>
        </w:rPr>
        <w:t xml:space="preserve">In the </w:t>
      </w:r>
      <w:r w:rsidR="009E3265" w:rsidRPr="00DD44D7">
        <w:rPr>
          <w:rFonts w:ascii="Times New Roman" w:hAnsi="Times New Roman"/>
          <w:i/>
          <w:sz w:val="22"/>
          <w:szCs w:val="22"/>
        </w:rPr>
        <w:t>NPRM</w:t>
      </w:r>
      <w:r w:rsidR="009E3265">
        <w:rPr>
          <w:rFonts w:ascii="Times New Roman" w:hAnsi="Times New Roman"/>
          <w:sz w:val="22"/>
          <w:szCs w:val="22"/>
        </w:rPr>
        <w:t xml:space="preserve">, the Commission expressed </w:t>
      </w:r>
      <w:r w:rsidR="00EA3AE7">
        <w:rPr>
          <w:rFonts w:ascii="Times New Roman" w:hAnsi="Times New Roman"/>
          <w:sz w:val="22"/>
          <w:szCs w:val="22"/>
        </w:rPr>
        <w:t>a strong interest in establishing</w:t>
      </w:r>
      <w:r w:rsidR="009E3265" w:rsidRPr="009E3265">
        <w:rPr>
          <w:rFonts w:ascii="Times New Roman" w:hAnsi="Times New Roman"/>
          <w:sz w:val="22"/>
          <w:szCs w:val="22"/>
        </w:rPr>
        <w:t xml:space="preserve"> a band plan framework that is flexible enough to accommodate </w:t>
      </w:r>
      <w:r w:rsidR="009E3265">
        <w:rPr>
          <w:rFonts w:ascii="Times New Roman" w:hAnsi="Times New Roman"/>
          <w:sz w:val="22"/>
          <w:szCs w:val="22"/>
        </w:rPr>
        <w:t xml:space="preserve">market variation, </w:t>
      </w:r>
      <w:r w:rsidR="009E3265" w:rsidRPr="00DD44D7">
        <w:rPr>
          <w:rFonts w:ascii="Times New Roman" w:hAnsi="Times New Roman"/>
          <w:i/>
          <w:sz w:val="22"/>
          <w:szCs w:val="22"/>
        </w:rPr>
        <w:t>i.e.,</w:t>
      </w:r>
      <w:r w:rsidR="009E3265">
        <w:rPr>
          <w:rFonts w:ascii="Times New Roman" w:hAnsi="Times New Roman"/>
          <w:sz w:val="22"/>
          <w:szCs w:val="22"/>
        </w:rPr>
        <w:t xml:space="preserve"> </w:t>
      </w:r>
      <w:r w:rsidR="0008210D">
        <w:rPr>
          <w:rFonts w:ascii="Times New Roman" w:hAnsi="Times New Roman"/>
          <w:sz w:val="22"/>
          <w:szCs w:val="22"/>
        </w:rPr>
        <w:t xml:space="preserve">offering </w:t>
      </w:r>
      <w:r w:rsidR="009E3265" w:rsidRPr="009E3265">
        <w:rPr>
          <w:rFonts w:ascii="Times New Roman" w:hAnsi="Times New Roman"/>
          <w:sz w:val="22"/>
          <w:szCs w:val="22"/>
        </w:rPr>
        <w:t xml:space="preserve">varying amounts of </w:t>
      </w:r>
      <w:r w:rsidR="009E3265">
        <w:rPr>
          <w:rFonts w:ascii="Times New Roman" w:hAnsi="Times New Roman"/>
          <w:sz w:val="22"/>
          <w:szCs w:val="22"/>
        </w:rPr>
        <w:t>spectrum</w:t>
      </w:r>
      <w:r w:rsidR="009E3265" w:rsidRPr="009E3265">
        <w:rPr>
          <w:rFonts w:ascii="Times New Roman" w:hAnsi="Times New Roman"/>
          <w:sz w:val="22"/>
          <w:szCs w:val="22"/>
        </w:rPr>
        <w:t xml:space="preserve"> </w:t>
      </w:r>
      <w:r w:rsidR="009E3265">
        <w:rPr>
          <w:rFonts w:ascii="Times New Roman" w:hAnsi="Times New Roman"/>
          <w:sz w:val="22"/>
          <w:szCs w:val="22"/>
        </w:rPr>
        <w:t>in different geographic locations</w:t>
      </w:r>
      <w:r w:rsidR="0008210D">
        <w:rPr>
          <w:rFonts w:ascii="Times New Roman" w:hAnsi="Times New Roman"/>
          <w:sz w:val="22"/>
          <w:szCs w:val="22"/>
        </w:rPr>
        <w:t>, depending on the spectrum</w:t>
      </w:r>
      <w:r w:rsidR="0008210D" w:rsidRPr="0008210D">
        <w:rPr>
          <w:rFonts w:ascii="Times New Roman" w:hAnsi="Times New Roman"/>
          <w:sz w:val="22"/>
          <w:szCs w:val="22"/>
        </w:rPr>
        <w:t xml:space="preserve"> </w:t>
      </w:r>
      <w:r w:rsidR="0008210D">
        <w:rPr>
          <w:rFonts w:ascii="Times New Roman" w:hAnsi="Times New Roman"/>
          <w:sz w:val="22"/>
          <w:szCs w:val="22"/>
        </w:rPr>
        <w:t>available</w:t>
      </w:r>
      <w:r w:rsidR="009E3265">
        <w:rPr>
          <w:rFonts w:ascii="Times New Roman" w:hAnsi="Times New Roman"/>
          <w:sz w:val="22"/>
          <w:szCs w:val="22"/>
        </w:rPr>
        <w:t>.</w:t>
      </w:r>
      <w:r w:rsidR="009E3265">
        <w:rPr>
          <w:rStyle w:val="FootnoteReference"/>
          <w:szCs w:val="22"/>
        </w:rPr>
        <w:footnoteReference w:id="11"/>
      </w:r>
      <w:r w:rsidR="009E3265">
        <w:rPr>
          <w:rFonts w:ascii="Times New Roman" w:hAnsi="Times New Roman"/>
          <w:sz w:val="22"/>
          <w:szCs w:val="22"/>
        </w:rPr>
        <w:t xml:space="preserve">  </w:t>
      </w:r>
      <w:r w:rsidR="007A16FD">
        <w:rPr>
          <w:rFonts w:ascii="Times New Roman" w:hAnsi="Times New Roman"/>
          <w:sz w:val="22"/>
          <w:szCs w:val="22"/>
        </w:rPr>
        <w:t xml:space="preserve">Further, </w:t>
      </w:r>
      <w:r w:rsidR="00A10B24" w:rsidRPr="00A10B24">
        <w:rPr>
          <w:rFonts w:ascii="Times New Roman" w:hAnsi="Times New Roman"/>
          <w:sz w:val="22"/>
          <w:szCs w:val="22"/>
        </w:rPr>
        <w:t xml:space="preserve">although the majority of commenters argue that the Commission should prioritize offering paired spectrum </w:t>
      </w:r>
      <w:r w:rsidR="00355D3D">
        <w:rPr>
          <w:rFonts w:ascii="Times New Roman" w:hAnsi="Times New Roman"/>
          <w:sz w:val="22"/>
          <w:szCs w:val="22"/>
        </w:rPr>
        <w:t xml:space="preserve">blocks </w:t>
      </w:r>
      <w:r w:rsidR="00A10B24" w:rsidRPr="00A10B24">
        <w:rPr>
          <w:rFonts w:ascii="Times New Roman" w:hAnsi="Times New Roman"/>
          <w:sz w:val="22"/>
          <w:szCs w:val="22"/>
        </w:rPr>
        <w:t>over unpaired blocks</w:t>
      </w:r>
      <w:r w:rsidR="00A10B24">
        <w:rPr>
          <w:rFonts w:ascii="Times New Roman" w:hAnsi="Times New Roman"/>
          <w:sz w:val="22"/>
          <w:szCs w:val="22"/>
        </w:rPr>
        <w:t>,</w:t>
      </w:r>
      <w:r w:rsidR="00A10B24" w:rsidRPr="00A10B24">
        <w:rPr>
          <w:rFonts w:ascii="Times New Roman" w:hAnsi="Times New Roman"/>
          <w:spacing w:val="-2"/>
          <w:sz w:val="22"/>
          <w:szCs w:val="22"/>
          <w:vertAlign w:val="superscript"/>
        </w:rPr>
        <w:footnoteReference w:id="12"/>
      </w:r>
      <w:r w:rsidR="00A10B24" w:rsidRPr="00A10B24">
        <w:rPr>
          <w:rFonts w:ascii="Times New Roman" w:hAnsi="Times New Roman"/>
          <w:sz w:val="22"/>
          <w:szCs w:val="22"/>
        </w:rPr>
        <w:t xml:space="preserve"> </w:t>
      </w:r>
      <w:r w:rsidR="007A16FD">
        <w:rPr>
          <w:rFonts w:ascii="Times New Roman" w:hAnsi="Times New Roman"/>
          <w:sz w:val="22"/>
          <w:szCs w:val="22"/>
        </w:rPr>
        <w:t xml:space="preserve">some variations of </w:t>
      </w:r>
      <w:r w:rsidR="009E3265">
        <w:rPr>
          <w:rFonts w:ascii="Times New Roman" w:hAnsi="Times New Roman"/>
          <w:sz w:val="22"/>
          <w:szCs w:val="22"/>
        </w:rPr>
        <w:t xml:space="preserve">the Down from 51 band </w:t>
      </w:r>
      <w:r w:rsidR="007A16FD">
        <w:rPr>
          <w:rFonts w:ascii="Times New Roman" w:hAnsi="Times New Roman"/>
          <w:sz w:val="22"/>
          <w:szCs w:val="22"/>
        </w:rPr>
        <w:t>plan limit the amount of paired spectrum that can be offered</w:t>
      </w:r>
      <w:r w:rsidR="00A10B24">
        <w:rPr>
          <w:rFonts w:ascii="Times New Roman" w:hAnsi="Times New Roman"/>
          <w:sz w:val="22"/>
          <w:szCs w:val="22"/>
        </w:rPr>
        <w:t>.</w:t>
      </w:r>
      <w:r w:rsidR="007A16FD">
        <w:rPr>
          <w:rStyle w:val="FootnoteReference"/>
          <w:szCs w:val="22"/>
        </w:rPr>
        <w:footnoteReference w:id="13"/>
      </w:r>
      <w:r w:rsidR="00A85A0A" w:rsidRPr="00A85A0A">
        <w:rPr>
          <w:rFonts w:ascii="Times New Roman" w:hAnsi="Times New Roman"/>
          <w:sz w:val="22"/>
          <w:szCs w:val="22"/>
        </w:rPr>
        <w:t xml:space="preserve"> </w:t>
      </w:r>
      <w:r w:rsidR="00A85A0A">
        <w:rPr>
          <w:rFonts w:ascii="Times New Roman" w:hAnsi="Times New Roman"/>
          <w:sz w:val="22"/>
          <w:szCs w:val="22"/>
        </w:rPr>
        <w:t>Under the policy framework set forth by the Commission, th</w:t>
      </w:r>
      <w:r w:rsidR="00B22144">
        <w:rPr>
          <w:rFonts w:ascii="Times New Roman" w:hAnsi="Times New Roman"/>
          <w:sz w:val="22"/>
          <w:szCs w:val="22"/>
        </w:rPr>
        <w:t>e</w:t>
      </w:r>
      <w:r w:rsidR="00A10B24">
        <w:rPr>
          <w:rFonts w:ascii="Times New Roman" w:hAnsi="Times New Roman"/>
          <w:sz w:val="22"/>
          <w:szCs w:val="22"/>
        </w:rPr>
        <w:t xml:space="preserve"> Down from 51</w:t>
      </w:r>
      <w:r w:rsidR="00D54D67">
        <w:rPr>
          <w:rFonts w:ascii="Times New Roman" w:hAnsi="Times New Roman"/>
          <w:sz w:val="22"/>
          <w:szCs w:val="22"/>
        </w:rPr>
        <w:t xml:space="preserve"> </w:t>
      </w:r>
      <w:r w:rsidR="007A16FD">
        <w:rPr>
          <w:rFonts w:ascii="Times New Roman" w:hAnsi="Times New Roman"/>
          <w:sz w:val="22"/>
          <w:szCs w:val="22"/>
        </w:rPr>
        <w:t>approach</w:t>
      </w:r>
      <w:r w:rsidR="00B22144">
        <w:rPr>
          <w:rFonts w:ascii="Times New Roman" w:hAnsi="Times New Roman"/>
          <w:sz w:val="22"/>
          <w:szCs w:val="22"/>
        </w:rPr>
        <w:t xml:space="preserve">es </w:t>
      </w:r>
      <w:r w:rsidR="00A10B24">
        <w:rPr>
          <w:rFonts w:ascii="Times New Roman" w:hAnsi="Times New Roman"/>
          <w:sz w:val="22"/>
          <w:szCs w:val="22"/>
        </w:rPr>
        <w:t xml:space="preserve">in the record </w:t>
      </w:r>
      <w:r w:rsidR="00B22144">
        <w:rPr>
          <w:rFonts w:ascii="Times New Roman" w:hAnsi="Times New Roman"/>
          <w:sz w:val="22"/>
          <w:szCs w:val="22"/>
        </w:rPr>
        <w:t>appear</w:t>
      </w:r>
      <w:r w:rsidR="00A85A0A">
        <w:rPr>
          <w:rFonts w:ascii="Times New Roman" w:hAnsi="Times New Roman"/>
          <w:sz w:val="22"/>
          <w:szCs w:val="22"/>
        </w:rPr>
        <w:t xml:space="preserve"> to favor certainty of the operating environment over</w:t>
      </w:r>
      <w:r w:rsidR="00AB4E76">
        <w:rPr>
          <w:rFonts w:ascii="Times New Roman" w:hAnsi="Times New Roman"/>
          <w:sz w:val="22"/>
          <w:szCs w:val="22"/>
        </w:rPr>
        <w:t xml:space="preserve"> the</w:t>
      </w:r>
      <w:r w:rsidR="00A85A0A">
        <w:rPr>
          <w:rFonts w:ascii="Times New Roman" w:hAnsi="Times New Roman"/>
          <w:sz w:val="22"/>
          <w:szCs w:val="22"/>
        </w:rPr>
        <w:t xml:space="preserve"> utility of providing the maximum amount of spectrum</w:t>
      </w:r>
      <w:r w:rsidR="00355D3D">
        <w:rPr>
          <w:rFonts w:ascii="Times New Roman" w:hAnsi="Times New Roman"/>
          <w:sz w:val="22"/>
          <w:szCs w:val="22"/>
        </w:rPr>
        <w:t xml:space="preserve"> through</w:t>
      </w:r>
      <w:r w:rsidR="00A85A0A">
        <w:rPr>
          <w:rFonts w:ascii="Times New Roman" w:hAnsi="Times New Roman"/>
          <w:sz w:val="22"/>
          <w:szCs w:val="22"/>
        </w:rPr>
        <w:t xml:space="preserve"> flexibility to offer a greater quantity of spectrum in geographic areas where </w:t>
      </w:r>
      <w:r w:rsidR="00AB4E76">
        <w:rPr>
          <w:rFonts w:ascii="Times New Roman" w:hAnsi="Times New Roman"/>
          <w:sz w:val="22"/>
          <w:szCs w:val="22"/>
        </w:rPr>
        <w:t>more</w:t>
      </w:r>
      <w:r w:rsidR="00504DD4">
        <w:rPr>
          <w:rFonts w:ascii="Times New Roman" w:hAnsi="Times New Roman"/>
          <w:sz w:val="22"/>
          <w:szCs w:val="22"/>
        </w:rPr>
        <w:t xml:space="preserve"> spectrum is available</w:t>
      </w:r>
      <w:r w:rsidR="00AB4E76">
        <w:rPr>
          <w:rFonts w:ascii="Times New Roman" w:hAnsi="Times New Roman"/>
          <w:sz w:val="22"/>
          <w:szCs w:val="22"/>
        </w:rPr>
        <w:t>.</w:t>
      </w:r>
      <w:r w:rsidR="00A85A0A">
        <w:rPr>
          <w:rFonts w:ascii="Times New Roman" w:hAnsi="Times New Roman"/>
          <w:sz w:val="22"/>
          <w:szCs w:val="22"/>
        </w:rPr>
        <w:t xml:space="preserve">  </w:t>
      </w:r>
    </w:p>
    <w:p w14:paraId="3B106B57" w14:textId="77777777" w:rsidR="00B22144" w:rsidRDefault="00B22144" w:rsidP="007A16FD">
      <w:pPr>
        <w:ind w:firstLine="720"/>
        <w:rPr>
          <w:rFonts w:ascii="Times New Roman" w:hAnsi="Times New Roman"/>
          <w:sz w:val="22"/>
          <w:szCs w:val="22"/>
        </w:rPr>
      </w:pPr>
    </w:p>
    <w:p w14:paraId="7FF2B21B" w14:textId="0935604B" w:rsidR="00B22144" w:rsidRDefault="009E5507" w:rsidP="00E046BA">
      <w:pPr>
        <w:ind w:firstLine="720"/>
        <w:rPr>
          <w:rFonts w:ascii="Times New Roman" w:hAnsi="Times New Roman"/>
          <w:sz w:val="22"/>
          <w:szCs w:val="22"/>
        </w:rPr>
      </w:pPr>
      <w:r w:rsidRPr="00D33A49">
        <w:rPr>
          <w:rFonts w:ascii="Times New Roman" w:hAnsi="Times New Roman"/>
          <w:sz w:val="22"/>
          <w:szCs w:val="22"/>
        </w:rPr>
        <w:t xml:space="preserve">In the </w:t>
      </w:r>
      <w:r w:rsidRPr="00D33A49">
        <w:rPr>
          <w:rFonts w:ascii="Times New Roman" w:hAnsi="Times New Roman"/>
          <w:i/>
          <w:sz w:val="22"/>
          <w:szCs w:val="22"/>
        </w:rPr>
        <w:t>NPRM</w:t>
      </w:r>
      <w:r w:rsidRPr="00D33A49">
        <w:rPr>
          <w:rFonts w:ascii="Times New Roman" w:hAnsi="Times New Roman"/>
          <w:sz w:val="22"/>
          <w:szCs w:val="22"/>
        </w:rPr>
        <w:t>, the Commission sought comment on a number of band plan proposals.</w:t>
      </w:r>
      <w:r>
        <w:rPr>
          <w:rStyle w:val="FootnoteReference"/>
          <w:szCs w:val="22"/>
        </w:rPr>
        <w:footnoteReference w:id="14"/>
      </w:r>
      <w:r w:rsidRPr="00D33A49">
        <w:rPr>
          <w:rFonts w:ascii="Times New Roman" w:hAnsi="Times New Roman"/>
          <w:sz w:val="22"/>
          <w:szCs w:val="22"/>
        </w:rPr>
        <w:t xml:space="preserve">  </w:t>
      </w:r>
      <w:r w:rsidR="001E4F50" w:rsidRPr="001E4F50">
        <w:rPr>
          <w:rFonts w:ascii="Times New Roman" w:hAnsi="Times New Roman"/>
          <w:sz w:val="22"/>
          <w:szCs w:val="22"/>
        </w:rPr>
        <w:t>E</w:t>
      </w:r>
      <w:r w:rsidR="001E4F50">
        <w:rPr>
          <w:rFonts w:ascii="Times New Roman" w:hAnsi="Times New Roman"/>
          <w:sz w:val="22"/>
          <w:szCs w:val="22"/>
        </w:rPr>
        <w:t>mphasizing its goals of “balanc</w:t>
      </w:r>
      <w:r w:rsidR="001E4F50" w:rsidRPr="001E4F50">
        <w:rPr>
          <w:rFonts w:ascii="Times New Roman" w:hAnsi="Times New Roman"/>
          <w:sz w:val="22"/>
          <w:szCs w:val="22"/>
        </w:rPr>
        <w:t>[ing] flexibility with certainty while maximizing the amount of spectrum we can make available for wireless broadband services in each geographic area,</w:t>
      </w:r>
      <w:r w:rsidR="001E4F50">
        <w:rPr>
          <w:rFonts w:ascii="Times New Roman" w:hAnsi="Times New Roman"/>
          <w:sz w:val="22"/>
          <w:szCs w:val="22"/>
        </w:rPr>
        <w:t>”</w:t>
      </w:r>
      <w:r w:rsidR="001E4F50" w:rsidRPr="001E4F50">
        <w:rPr>
          <w:rFonts w:ascii="Times New Roman" w:hAnsi="Times New Roman"/>
          <w:sz w:val="22"/>
          <w:szCs w:val="22"/>
        </w:rPr>
        <w:t xml:space="preserve"> the Commission recognized</w:t>
      </w:r>
      <w:r w:rsidR="001E4F50">
        <w:rPr>
          <w:rFonts w:ascii="Times New Roman" w:hAnsi="Times New Roman"/>
          <w:sz w:val="22"/>
          <w:szCs w:val="22"/>
        </w:rPr>
        <w:t xml:space="preserve"> that</w:t>
      </w:r>
      <w:r w:rsidR="001E4F50" w:rsidRPr="001E4F50">
        <w:rPr>
          <w:rFonts w:ascii="Times New Roman" w:hAnsi="Times New Roman"/>
          <w:sz w:val="22"/>
          <w:szCs w:val="22"/>
        </w:rPr>
        <w:t xml:space="preserve"> other band plans are possible that may achieve the Commission’s goals</w:t>
      </w:r>
      <w:r w:rsidR="00F033F8">
        <w:rPr>
          <w:rFonts w:ascii="Times New Roman" w:hAnsi="Times New Roman"/>
          <w:sz w:val="22"/>
          <w:szCs w:val="22"/>
        </w:rPr>
        <w:t>.</w:t>
      </w:r>
      <w:r w:rsidR="0088681E">
        <w:rPr>
          <w:rStyle w:val="FootnoteReference"/>
          <w:szCs w:val="22"/>
        </w:rPr>
        <w:footnoteReference w:id="15"/>
      </w:r>
      <w:r w:rsidR="00F033F8">
        <w:rPr>
          <w:rFonts w:ascii="Times New Roman" w:hAnsi="Times New Roman"/>
          <w:sz w:val="22"/>
          <w:szCs w:val="22"/>
        </w:rPr>
        <w:t xml:space="preserve">  Consequently, t</w:t>
      </w:r>
      <w:r w:rsidR="001E4F50" w:rsidRPr="001E4F50">
        <w:rPr>
          <w:rFonts w:ascii="Times New Roman" w:hAnsi="Times New Roman"/>
          <w:sz w:val="22"/>
          <w:szCs w:val="22"/>
        </w:rPr>
        <w:t xml:space="preserve">he Commission sought comment on </w:t>
      </w:r>
      <w:r w:rsidR="00F033F8">
        <w:rPr>
          <w:rFonts w:ascii="Times New Roman" w:hAnsi="Times New Roman"/>
          <w:sz w:val="22"/>
          <w:szCs w:val="22"/>
        </w:rPr>
        <w:t xml:space="preserve">the </w:t>
      </w:r>
      <w:r w:rsidR="00F033F8" w:rsidRPr="001E4F50">
        <w:rPr>
          <w:rFonts w:ascii="Times New Roman" w:hAnsi="Times New Roman"/>
          <w:sz w:val="22"/>
          <w:szCs w:val="22"/>
        </w:rPr>
        <w:t xml:space="preserve">band plan approaches </w:t>
      </w:r>
      <w:r w:rsidR="00F033F8">
        <w:rPr>
          <w:rFonts w:ascii="Times New Roman" w:hAnsi="Times New Roman"/>
          <w:sz w:val="22"/>
          <w:szCs w:val="22"/>
        </w:rPr>
        <w:t xml:space="preserve">described in the </w:t>
      </w:r>
      <w:r w:rsidR="00F033F8" w:rsidRPr="0089039B">
        <w:rPr>
          <w:rFonts w:ascii="Times New Roman" w:hAnsi="Times New Roman"/>
          <w:i/>
          <w:sz w:val="22"/>
          <w:szCs w:val="22"/>
        </w:rPr>
        <w:t>NPRM</w:t>
      </w:r>
      <w:r w:rsidR="00F033F8">
        <w:rPr>
          <w:rFonts w:ascii="Times New Roman" w:hAnsi="Times New Roman"/>
          <w:sz w:val="22"/>
          <w:szCs w:val="22"/>
        </w:rPr>
        <w:t>, any variations</w:t>
      </w:r>
      <w:r w:rsidR="00886330">
        <w:rPr>
          <w:rFonts w:ascii="Times New Roman" w:hAnsi="Times New Roman"/>
          <w:sz w:val="22"/>
          <w:szCs w:val="22"/>
        </w:rPr>
        <w:t xml:space="preserve"> on those approaches</w:t>
      </w:r>
      <w:r w:rsidR="00F033F8">
        <w:rPr>
          <w:rFonts w:ascii="Times New Roman" w:hAnsi="Times New Roman"/>
          <w:sz w:val="22"/>
          <w:szCs w:val="22"/>
        </w:rPr>
        <w:t xml:space="preserve">, </w:t>
      </w:r>
      <w:r w:rsidR="001E4F50" w:rsidRPr="001E4F50">
        <w:rPr>
          <w:rFonts w:ascii="Times New Roman" w:hAnsi="Times New Roman"/>
          <w:sz w:val="22"/>
          <w:szCs w:val="22"/>
        </w:rPr>
        <w:t>and also invited commenters to</w:t>
      </w:r>
      <w:r w:rsidR="001E4F50">
        <w:rPr>
          <w:rFonts w:ascii="Times New Roman" w:hAnsi="Times New Roman"/>
          <w:sz w:val="22"/>
          <w:szCs w:val="22"/>
        </w:rPr>
        <w:t xml:space="preserve"> propose their own band plans</w:t>
      </w:r>
      <w:r w:rsidRPr="00D33A49">
        <w:rPr>
          <w:rFonts w:ascii="Times New Roman" w:hAnsi="Times New Roman"/>
          <w:sz w:val="22"/>
          <w:szCs w:val="22"/>
        </w:rPr>
        <w:t>.</w:t>
      </w:r>
      <w:r>
        <w:rPr>
          <w:rStyle w:val="FootnoteReference"/>
          <w:szCs w:val="22"/>
        </w:rPr>
        <w:footnoteReference w:id="16"/>
      </w:r>
      <w:r w:rsidRPr="00D33A49">
        <w:rPr>
          <w:rFonts w:ascii="Times New Roman" w:hAnsi="Times New Roman"/>
          <w:sz w:val="22"/>
          <w:szCs w:val="22"/>
        </w:rPr>
        <w:t xml:space="preserve"> </w:t>
      </w:r>
      <w:r>
        <w:rPr>
          <w:rFonts w:ascii="Times New Roman" w:hAnsi="Times New Roman"/>
          <w:sz w:val="22"/>
          <w:szCs w:val="22"/>
        </w:rPr>
        <w:t xml:space="preserve"> </w:t>
      </w:r>
      <w:r w:rsidR="003D60E8">
        <w:rPr>
          <w:rFonts w:ascii="Times New Roman" w:hAnsi="Times New Roman"/>
          <w:sz w:val="22"/>
          <w:szCs w:val="22"/>
        </w:rPr>
        <w:t xml:space="preserve">To advance the Commission’s goal of </w:t>
      </w:r>
      <w:r w:rsidR="00B22144">
        <w:rPr>
          <w:rFonts w:ascii="Times New Roman" w:hAnsi="Times New Roman"/>
          <w:sz w:val="22"/>
          <w:szCs w:val="22"/>
        </w:rPr>
        <w:t xml:space="preserve">maintaining flexibility </w:t>
      </w:r>
      <w:r w:rsidR="00086AB6">
        <w:rPr>
          <w:rFonts w:ascii="Times New Roman" w:hAnsi="Times New Roman"/>
          <w:sz w:val="22"/>
          <w:szCs w:val="22"/>
        </w:rPr>
        <w:t xml:space="preserve">to offer different </w:t>
      </w:r>
      <w:r w:rsidR="00086AB6">
        <w:rPr>
          <w:rFonts w:ascii="Times New Roman" w:hAnsi="Times New Roman"/>
          <w:sz w:val="22"/>
          <w:szCs w:val="22"/>
        </w:rPr>
        <w:lastRenderedPageBreak/>
        <w:t>amounts of spectrum in different geographic markets</w:t>
      </w:r>
      <w:r w:rsidR="00B22144">
        <w:rPr>
          <w:rFonts w:ascii="Times New Roman" w:hAnsi="Times New Roman"/>
          <w:sz w:val="22"/>
          <w:szCs w:val="22"/>
        </w:rPr>
        <w:t>,</w:t>
      </w:r>
      <w:r w:rsidR="00E046BA">
        <w:rPr>
          <w:rStyle w:val="FootnoteReference"/>
          <w:szCs w:val="22"/>
        </w:rPr>
        <w:footnoteReference w:id="17"/>
      </w:r>
      <w:r w:rsidR="00B22144">
        <w:rPr>
          <w:rFonts w:ascii="Times New Roman" w:hAnsi="Times New Roman"/>
          <w:sz w:val="22"/>
          <w:szCs w:val="22"/>
        </w:rPr>
        <w:t xml:space="preserve"> we seek further comment on how certain Down from 51 band plan approaches can best address the potential for market variation, particularly in markets</w:t>
      </w:r>
      <w:r w:rsidR="00E046BA">
        <w:rPr>
          <w:rFonts w:ascii="Times New Roman" w:hAnsi="Times New Roman"/>
          <w:sz w:val="22"/>
          <w:szCs w:val="22"/>
        </w:rPr>
        <w:t xml:space="preserve"> where available spectrum is constrained</w:t>
      </w:r>
      <w:r w:rsidR="00B22144">
        <w:rPr>
          <w:rFonts w:ascii="Times New Roman" w:hAnsi="Times New Roman"/>
          <w:sz w:val="22"/>
          <w:szCs w:val="22"/>
        </w:rPr>
        <w:t>.</w:t>
      </w:r>
      <w:r w:rsidR="0046213E">
        <w:rPr>
          <w:rFonts w:ascii="Times New Roman" w:hAnsi="Times New Roman"/>
          <w:sz w:val="22"/>
          <w:szCs w:val="22"/>
        </w:rPr>
        <w:t xml:space="preserve">  Although the Commission continues to consider all band plan proposals in the record, we seek additional comment on certain variations of the Down from 51 band plan, as described below, to develop a more robust record on these concepts.</w:t>
      </w:r>
      <w:r w:rsidR="007D562C">
        <w:t xml:space="preserve"> </w:t>
      </w:r>
      <w:r w:rsidR="002E0131">
        <w:t xml:space="preserve"> </w:t>
      </w:r>
      <w:r w:rsidR="00730BC7" w:rsidRPr="0089039B">
        <w:rPr>
          <w:rFonts w:ascii="Times New Roman" w:hAnsi="Times New Roman"/>
          <w:sz w:val="22"/>
          <w:szCs w:val="22"/>
        </w:rPr>
        <w:t>We invite commenters to discuss the relative merits of all of the band plan proposals and their variations in the record.</w:t>
      </w:r>
      <w:r w:rsidR="00730BC7">
        <w:t xml:space="preserve">  </w:t>
      </w:r>
      <w:r w:rsidR="007D562C">
        <w:rPr>
          <w:rFonts w:ascii="Times New Roman" w:hAnsi="Times New Roman"/>
          <w:sz w:val="22"/>
          <w:szCs w:val="22"/>
        </w:rPr>
        <w:t xml:space="preserve">Further, we also seek comment on which band plan </w:t>
      </w:r>
      <w:r w:rsidR="007D562C" w:rsidRPr="007D562C">
        <w:rPr>
          <w:rFonts w:ascii="Times New Roman" w:hAnsi="Times New Roman"/>
          <w:sz w:val="22"/>
          <w:szCs w:val="22"/>
        </w:rPr>
        <w:t>other countries would be most likely to adopt to allow for global harmonization of the 600 MHz spectrum</w:t>
      </w:r>
      <w:r w:rsidR="007D562C">
        <w:rPr>
          <w:rFonts w:ascii="Times New Roman" w:hAnsi="Times New Roman"/>
          <w:sz w:val="22"/>
          <w:szCs w:val="22"/>
        </w:rPr>
        <w:t>.</w:t>
      </w:r>
    </w:p>
    <w:p w14:paraId="54098554" w14:textId="77777777" w:rsidR="00D15231" w:rsidRDefault="00D15231" w:rsidP="00DD44D7">
      <w:pPr>
        <w:rPr>
          <w:rFonts w:ascii="Times New Roman" w:hAnsi="Times New Roman"/>
          <w:b/>
          <w:sz w:val="22"/>
          <w:szCs w:val="22"/>
          <w:u w:val="single"/>
        </w:rPr>
      </w:pPr>
    </w:p>
    <w:p w14:paraId="0C4CB6F1" w14:textId="77777777" w:rsidR="00D15231" w:rsidRDefault="00D15231" w:rsidP="00DD44D7">
      <w:pPr>
        <w:rPr>
          <w:rFonts w:ascii="Times New Roman" w:hAnsi="Times New Roman"/>
          <w:b/>
          <w:sz w:val="22"/>
          <w:szCs w:val="22"/>
          <w:u w:val="single"/>
        </w:rPr>
      </w:pPr>
    </w:p>
    <w:p w14:paraId="761303B4" w14:textId="77777777" w:rsidR="005E1008" w:rsidRPr="005E1008" w:rsidRDefault="005E1008" w:rsidP="00DD44D7">
      <w:pPr>
        <w:rPr>
          <w:rFonts w:ascii="Times New Roman" w:hAnsi="Times New Roman"/>
          <w:b/>
          <w:sz w:val="22"/>
          <w:szCs w:val="22"/>
          <w:u w:val="single"/>
        </w:rPr>
      </w:pPr>
      <w:r w:rsidRPr="005E1008">
        <w:rPr>
          <w:rFonts w:ascii="Times New Roman" w:hAnsi="Times New Roman"/>
          <w:b/>
          <w:sz w:val="22"/>
          <w:szCs w:val="22"/>
          <w:u w:val="single"/>
        </w:rPr>
        <w:t>“Down from 51 Reversed” Band Plan Variation</w:t>
      </w:r>
    </w:p>
    <w:p w14:paraId="52820D85" w14:textId="77777777" w:rsidR="0004084B" w:rsidRDefault="0004084B" w:rsidP="0004084B">
      <w:pPr>
        <w:ind w:firstLine="720"/>
        <w:rPr>
          <w:rFonts w:ascii="Times New Roman" w:hAnsi="Times New Roman"/>
          <w:sz w:val="22"/>
          <w:szCs w:val="22"/>
        </w:rPr>
      </w:pPr>
    </w:p>
    <w:p w14:paraId="624D8E57" w14:textId="61A0EA61" w:rsidR="00474EFA" w:rsidRDefault="00355D3D" w:rsidP="0004084B">
      <w:pPr>
        <w:ind w:firstLine="720"/>
        <w:rPr>
          <w:rFonts w:ascii="Times New Roman" w:hAnsi="Times New Roman"/>
          <w:sz w:val="22"/>
          <w:szCs w:val="22"/>
        </w:rPr>
      </w:pPr>
      <w:r>
        <w:rPr>
          <w:rFonts w:ascii="Times New Roman" w:hAnsi="Times New Roman"/>
          <w:sz w:val="22"/>
          <w:szCs w:val="22"/>
        </w:rPr>
        <w:t>We</w:t>
      </w:r>
      <w:r w:rsidR="008C02D6">
        <w:rPr>
          <w:rFonts w:ascii="Times New Roman" w:hAnsi="Times New Roman"/>
          <w:sz w:val="22"/>
          <w:szCs w:val="22"/>
        </w:rPr>
        <w:t xml:space="preserve"> </w:t>
      </w:r>
      <w:r w:rsidR="003D60E8">
        <w:rPr>
          <w:rFonts w:ascii="Times New Roman" w:hAnsi="Times New Roman"/>
          <w:sz w:val="22"/>
          <w:szCs w:val="22"/>
        </w:rPr>
        <w:t xml:space="preserve">seek </w:t>
      </w:r>
      <w:r w:rsidR="00E046BA">
        <w:rPr>
          <w:rFonts w:ascii="Times New Roman" w:hAnsi="Times New Roman"/>
          <w:sz w:val="22"/>
          <w:szCs w:val="22"/>
        </w:rPr>
        <w:t>comment</w:t>
      </w:r>
      <w:r w:rsidR="008C02D6">
        <w:rPr>
          <w:rFonts w:ascii="Times New Roman" w:hAnsi="Times New Roman"/>
          <w:sz w:val="22"/>
          <w:szCs w:val="22"/>
        </w:rPr>
        <w:t xml:space="preserve"> on a variation </w:t>
      </w:r>
      <w:r w:rsidR="00B22144">
        <w:rPr>
          <w:rFonts w:ascii="Times New Roman" w:hAnsi="Times New Roman"/>
          <w:sz w:val="22"/>
          <w:szCs w:val="22"/>
        </w:rPr>
        <w:t>of the Down from 51</w:t>
      </w:r>
      <w:r w:rsidR="007A16FD">
        <w:rPr>
          <w:rFonts w:ascii="Times New Roman" w:hAnsi="Times New Roman"/>
          <w:sz w:val="22"/>
          <w:szCs w:val="22"/>
        </w:rPr>
        <w:t xml:space="preserve"> </w:t>
      </w:r>
      <w:r w:rsidR="00504DD4">
        <w:rPr>
          <w:rFonts w:ascii="Times New Roman" w:hAnsi="Times New Roman"/>
          <w:sz w:val="22"/>
          <w:szCs w:val="22"/>
        </w:rPr>
        <w:t>band plan</w:t>
      </w:r>
      <w:r w:rsidR="007B3170">
        <w:rPr>
          <w:rStyle w:val="FootnoteReference"/>
          <w:szCs w:val="22"/>
        </w:rPr>
        <w:footnoteReference w:id="18"/>
      </w:r>
      <w:r w:rsidR="00504DD4">
        <w:rPr>
          <w:rFonts w:ascii="Times New Roman" w:hAnsi="Times New Roman"/>
          <w:sz w:val="22"/>
          <w:szCs w:val="22"/>
        </w:rPr>
        <w:t xml:space="preserve"> </w:t>
      </w:r>
      <w:r w:rsidR="008C02D6">
        <w:rPr>
          <w:rFonts w:ascii="Times New Roman" w:hAnsi="Times New Roman"/>
          <w:sz w:val="22"/>
          <w:szCs w:val="22"/>
        </w:rPr>
        <w:t xml:space="preserve">in which </w:t>
      </w:r>
      <w:r w:rsidR="00FC5DDF">
        <w:rPr>
          <w:rFonts w:ascii="Times New Roman" w:hAnsi="Times New Roman"/>
          <w:sz w:val="22"/>
          <w:szCs w:val="22"/>
        </w:rPr>
        <w:t xml:space="preserve">we </w:t>
      </w:r>
      <w:r w:rsidR="00D16150">
        <w:rPr>
          <w:rFonts w:ascii="Times New Roman" w:hAnsi="Times New Roman"/>
          <w:sz w:val="22"/>
          <w:szCs w:val="22"/>
        </w:rPr>
        <w:t xml:space="preserve">reverse </w:t>
      </w:r>
      <w:r w:rsidR="007A16FD">
        <w:rPr>
          <w:rFonts w:ascii="Times New Roman" w:hAnsi="Times New Roman"/>
          <w:sz w:val="22"/>
          <w:szCs w:val="22"/>
        </w:rPr>
        <w:t>the configuration of the</w:t>
      </w:r>
      <w:r w:rsidR="00D16150">
        <w:rPr>
          <w:rFonts w:ascii="Times New Roman" w:hAnsi="Times New Roman"/>
          <w:sz w:val="22"/>
          <w:szCs w:val="22"/>
        </w:rPr>
        <w:t xml:space="preserve"> uplink and downlink</w:t>
      </w:r>
      <w:r w:rsidR="007A16FD">
        <w:rPr>
          <w:rFonts w:ascii="Times New Roman" w:hAnsi="Times New Roman"/>
          <w:sz w:val="22"/>
          <w:szCs w:val="22"/>
        </w:rPr>
        <w:t xml:space="preserve"> blocks </w:t>
      </w:r>
      <w:r w:rsidR="008C02D6">
        <w:rPr>
          <w:rFonts w:ascii="Times New Roman" w:hAnsi="Times New Roman"/>
          <w:sz w:val="22"/>
          <w:szCs w:val="22"/>
        </w:rPr>
        <w:t>(“</w:t>
      </w:r>
      <w:r w:rsidR="002E1F85">
        <w:rPr>
          <w:rFonts w:ascii="Times New Roman" w:hAnsi="Times New Roman"/>
          <w:sz w:val="22"/>
          <w:szCs w:val="22"/>
        </w:rPr>
        <w:t>Down from 51 Reversed”)</w:t>
      </w:r>
      <w:r w:rsidR="00445F85">
        <w:rPr>
          <w:rFonts w:ascii="Times New Roman" w:hAnsi="Times New Roman"/>
          <w:sz w:val="22"/>
          <w:szCs w:val="22"/>
        </w:rPr>
        <w:t xml:space="preserve">.  Under </w:t>
      </w:r>
      <w:r w:rsidR="00BE0FA0">
        <w:rPr>
          <w:rFonts w:ascii="Times New Roman" w:hAnsi="Times New Roman"/>
          <w:sz w:val="22"/>
          <w:szCs w:val="22"/>
        </w:rPr>
        <w:t xml:space="preserve">a </w:t>
      </w:r>
      <w:r w:rsidR="003C1606">
        <w:rPr>
          <w:rFonts w:ascii="Times New Roman" w:hAnsi="Times New Roman"/>
          <w:sz w:val="22"/>
          <w:szCs w:val="22"/>
        </w:rPr>
        <w:t>Down from 51 Reversed</w:t>
      </w:r>
      <w:r w:rsidR="00BE0FA0">
        <w:rPr>
          <w:rFonts w:ascii="Times New Roman" w:hAnsi="Times New Roman"/>
          <w:sz w:val="22"/>
          <w:szCs w:val="22"/>
        </w:rPr>
        <w:t xml:space="preserve"> band plan</w:t>
      </w:r>
      <w:r w:rsidR="00445F85">
        <w:rPr>
          <w:rFonts w:ascii="Times New Roman" w:hAnsi="Times New Roman"/>
          <w:sz w:val="22"/>
          <w:szCs w:val="22"/>
        </w:rPr>
        <w:t xml:space="preserve">, the Commission would </w:t>
      </w:r>
      <w:r w:rsidR="00445F85" w:rsidRPr="00D60CB8">
        <w:rPr>
          <w:rFonts w:ascii="Times New Roman" w:hAnsi="Times New Roman"/>
          <w:sz w:val="22"/>
          <w:szCs w:val="22"/>
        </w:rPr>
        <w:t>clear broadcast television cha</w:t>
      </w:r>
      <w:r w:rsidR="00504DD4">
        <w:rPr>
          <w:rFonts w:ascii="Times New Roman" w:hAnsi="Times New Roman"/>
          <w:sz w:val="22"/>
          <w:szCs w:val="22"/>
        </w:rPr>
        <w:t>nnels starting at channel 51 and</w:t>
      </w:r>
      <w:r w:rsidR="004E21BB">
        <w:rPr>
          <w:rFonts w:ascii="Times New Roman" w:hAnsi="Times New Roman"/>
          <w:sz w:val="22"/>
          <w:szCs w:val="22"/>
        </w:rPr>
        <w:t xml:space="preserve"> </w:t>
      </w:r>
      <w:r w:rsidR="00504DD4" w:rsidRPr="00504DD4">
        <w:rPr>
          <w:rFonts w:ascii="Times New Roman" w:hAnsi="Times New Roman"/>
          <w:sz w:val="22"/>
          <w:szCs w:val="22"/>
        </w:rPr>
        <w:t>expand downward</w:t>
      </w:r>
      <w:r w:rsidR="0085356C">
        <w:rPr>
          <w:rFonts w:ascii="Times New Roman" w:hAnsi="Times New Roman"/>
          <w:sz w:val="22"/>
          <w:szCs w:val="22"/>
        </w:rPr>
        <w:t>:</w:t>
      </w:r>
      <w:r w:rsidR="00504DD4" w:rsidRPr="00504DD4">
        <w:rPr>
          <w:rFonts w:ascii="Times New Roman" w:hAnsi="Times New Roman"/>
          <w:sz w:val="22"/>
          <w:szCs w:val="22"/>
        </w:rPr>
        <w:t xml:space="preserve"> the </w:t>
      </w:r>
      <w:r w:rsidR="00504DD4">
        <w:rPr>
          <w:rFonts w:ascii="Times New Roman" w:hAnsi="Times New Roman"/>
          <w:sz w:val="22"/>
          <w:szCs w:val="22"/>
        </w:rPr>
        <w:t>downlink</w:t>
      </w:r>
      <w:r w:rsidR="00504DD4" w:rsidRPr="00504DD4">
        <w:rPr>
          <w:rFonts w:ascii="Times New Roman" w:hAnsi="Times New Roman"/>
          <w:sz w:val="22"/>
          <w:szCs w:val="22"/>
        </w:rPr>
        <w:t xml:space="preserve"> band would begin </w:t>
      </w:r>
      <w:r w:rsidR="000A2EB5">
        <w:rPr>
          <w:rFonts w:ascii="Times New Roman" w:hAnsi="Times New Roman"/>
          <w:sz w:val="22"/>
          <w:szCs w:val="22"/>
        </w:rPr>
        <w:t xml:space="preserve">after a guard band </w:t>
      </w:r>
      <w:r w:rsidR="00504DD4" w:rsidRPr="00504DD4">
        <w:rPr>
          <w:rFonts w:ascii="Times New Roman" w:hAnsi="Times New Roman"/>
          <w:sz w:val="22"/>
          <w:szCs w:val="22"/>
        </w:rPr>
        <w:t>at channel 51 (698 MHz),</w:t>
      </w:r>
      <w:r w:rsidR="00D16150">
        <w:rPr>
          <w:rStyle w:val="FootnoteReference"/>
          <w:szCs w:val="22"/>
        </w:rPr>
        <w:footnoteReference w:id="19"/>
      </w:r>
      <w:r w:rsidR="00504DD4" w:rsidRPr="00504DD4">
        <w:rPr>
          <w:rFonts w:ascii="Times New Roman" w:hAnsi="Times New Roman"/>
          <w:sz w:val="22"/>
          <w:szCs w:val="22"/>
        </w:rPr>
        <w:t xml:space="preserve"> followed by a duplex gap, and then the </w:t>
      </w:r>
      <w:r w:rsidR="000A2EB5">
        <w:rPr>
          <w:rFonts w:ascii="Times New Roman" w:hAnsi="Times New Roman"/>
          <w:sz w:val="22"/>
          <w:szCs w:val="22"/>
        </w:rPr>
        <w:t>uplink</w:t>
      </w:r>
      <w:r w:rsidR="00504DD4" w:rsidRPr="00504DD4">
        <w:rPr>
          <w:rFonts w:ascii="Times New Roman" w:hAnsi="Times New Roman"/>
          <w:sz w:val="22"/>
          <w:szCs w:val="22"/>
        </w:rPr>
        <w:t xml:space="preserve"> band</w:t>
      </w:r>
      <w:r w:rsidR="000A2EB5">
        <w:rPr>
          <w:rFonts w:ascii="Times New Roman" w:hAnsi="Times New Roman"/>
          <w:sz w:val="22"/>
          <w:szCs w:val="22"/>
        </w:rPr>
        <w:t>.</w:t>
      </w:r>
      <w:r w:rsidR="00504DD4" w:rsidRPr="00504DD4">
        <w:rPr>
          <w:rFonts w:ascii="Times New Roman" w:hAnsi="Times New Roman"/>
          <w:sz w:val="22"/>
          <w:szCs w:val="22"/>
        </w:rPr>
        <w:t xml:space="preserve"> </w:t>
      </w:r>
      <w:r w:rsidR="00504DD4">
        <w:rPr>
          <w:rFonts w:ascii="Times New Roman" w:hAnsi="Times New Roman"/>
          <w:sz w:val="22"/>
          <w:szCs w:val="22"/>
        </w:rPr>
        <w:t xml:space="preserve"> </w:t>
      </w:r>
      <w:r w:rsidR="000A2EB5">
        <w:rPr>
          <w:rFonts w:ascii="Times New Roman" w:hAnsi="Times New Roman"/>
          <w:sz w:val="22"/>
          <w:szCs w:val="22"/>
        </w:rPr>
        <w:t xml:space="preserve">As shown in the diagrams below, the uplink band </w:t>
      </w:r>
      <w:r w:rsidR="00504DD4">
        <w:rPr>
          <w:rFonts w:ascii="Times New Roman" w:hAnsi="Times New Roman"/>
          <w:sz w:val="22"/>
          <w:szCs w:val="22"/>
        </w:rPr>
        <w:t>could extend past channel 37</w:t>
      </w:r>
      <w:r w:rsidR="000F7944">
        <w:rPr>
          <w:rFonts w:ascii="Times New Roman" w:hAnsi="Times New Roman"/>
          <w:sz w:val="22"/>
          <w:szCs w:val="22"/>
        </w:rPr>
        <w:t>, either nationwide or</w:t>
      </w:r>
      <w:r w:rsidR="000A2EB5">
        <w:rPr>
          <w:rFonts w:ascii="Times New Roman" w:hAnsi="Times New Roman"/>
          <w:sz w:val="22"/>
          <w:szCs w:val="22"/>
        </w:rPr>
        <w:t xml:space="preserve"> in certain markets</w:t>
      </w:r>
      <w:r w:rsidR="000F7944">
        <w:rPr>
          <w:rFonts w:ascii="Times New Roman" w:hAnsi="Times New Roman"/>
          <w:sz w:val="22"/>
          <w:szCs w:val="22"/>
        </w:rPr>
        <w:t>, depending on the amount of repurposed spectrum</w:t>
      </w:r>
      <w:r w:rsidR="00504DD4">
        <w:rPr>
          <w:rFonts w:ascii="Times New Roman" w:hAnsi="Times New Roman"/>
          <w:sz w:val="22"/>
          <w:szCs w:val="22"/>
        </w:rPr>
        <w:t xml:space="preserve">.  </w:t>
      </w:r>
    </w:p>
    <w:p w14:paraId="7532A441" w14:textId="77777777" w:rsidR="003D60E8" w:rsidRDefault="003D60E8" w:rsidP="0004084B">
      <w:pPr>
        <w:ind w:firstLine="720"/>
        <w:rPr>
          <w:rFonts w:ascii="Times New Roman" w:hAnsi="Times New Roman"/>
          <w:sz w:val="22"/>
          <w:szCs w:val="22"/>
        </w:rPr>
      </w:pPr>
    </w:p>
    <w:p w14:paraId="0E0E12E6" w14:textId="77777777" w:rsidR="003D60E8" w:rsidRPr="007860E9" w:rsidRDefault="003D60E8" w:rsidP="003D60E8">
      <w:pPr>
        <w:ind w:firstLine="720"/>
        <w:jc w:val="center"/>
        <w:rPr>
          <w:rFonts w:ascii="Times New Roman" w:hAnsi="Times New Roman"/>
          <w:b/>
          <w:sz w:val="22"/>
          <w:szCs w:val="22"/>
        </w:rPr>
      </w:pPr>
      <w:r>
        <w:rPr>
          <w:rFonts w:ascii="Times New Roman" w:hAnsi="Times New Roman"/>
          <w:b/>
          <w:sz w:val="22"/>
          <w:szCs w:val="22"/>
        </w:rPr>
        <w:t>Down from 51 Reversed, less than 84 MHz cleared</w:t>
      </w:r>
    </w:p>
    <w:p w14:paraId="545A9671" w14:textId="77777777" w:rsidR="005E1008" w:rsidRDefault="005E1008" w:rsidP="00D517FB">
      <w:pPr>
        <w:ind w:firstLine="720"/>
        <w:rPr>
          <w:rFonts w:ascii="Times New Roman" w:hAnsi="Times New Roman"/>
          <w:sz w:val="22"/>
          <w:szCs w:val="22"/>
        </w:rPr>
      </w:pPr>
    </w:p>
    <w:p w14:paraId="324A4A0A" w14:textId="77777777" w:rsidR="007860E9" w:rsidRDefault="007860E9" w:rsidP="00D517FB">
      <w:pPr>
        <w:ind w:firstLine="720"/>
        <w:rPr>
          <w:rFonts w:ascii="Times New Roman" w:hAnsi="Times New Roman"/>
          <w:sz w:val="22"/>
          <w:szCs w:val="22"/>
        </w:rPr>
      </w:pPr>
      <w:r w:rsidRPr="007860E9">
        <w:rPr>
          <w:noProof/>
        </w:rPr>
        <w:drawing>
          <wp:inline distT="0" distB="0" distL="0" distR="0" wp14:anchorId="451FF42F" wp14:editId="75E783D1">
            <wp:extent cx="5343525" cy="1181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1181100"/>
                    </a:xfrm>
                    <a:prstGeom prst="rect">
                      <a:avLst/>
                    </a:prstGeom>
                    <a:noFill/>
                    <a:ln>
                      <a:noFill/>
                    </a:ln>
                  </pic:spPr>
                </pic:pic>
              </a:graphicData>
            </a:graphic>
          </wp:inline>
        </w:drawing>
      </w:r>
    </w:p>
    <w:p w14:paraId="6DA8253F" w14:textId="77777777" w:rsidR="001628A9" w:rsidRDefault="001628A9" w:rsidP="001628A9">
      <w:pPr>
        <w:ind w:firstLine="720"/>
        <w:jc w:val="center"/>
        <w:rPr>
          <w:rFonts w:ascii="Times New Roman" w:hAnsi="Times New Roman"/>
          <w:b/>
          <w:sz w:val="22"/>
          <w:szCs w:val="22"/>
        </w:rPr>
      </w:pPr>
    </w:p>
    <w:p w14:paraId="728B8632" w14:textId="77777777" w:rsidR="001628A9" w:rsidRDefault="001628A9" w:rsidP="001628A9">
      <w:pPr>
        <w:ind w:firstLine="720"/>
        <w:jc w:val="center"/>
        <w:rPr>
          <w:rFonts w:ascii="Times New Roman" w:hAnsi="Times New Roman"/>
          <w:b/>
          <w:sz w:val="22"/>
          <w:szCs w:val="22"/>
        </w:rPr>
      </w:pPr>
      <w:r>
        <w:rPr>
          <w:rFonts w:ascii="Times New Roman" w:hAnsi="Times New Roman"/>
          <w:b/>
          <w:sz w:val="22"/>
          <w:szCs w:val="22"/>
        </w:rPr>
        <w:t>Down from 51 Reversed, more than 84 MHz cleared</w:t>
      </w:r>
    </w:p>
    <w:p w14:paraId="044B6E1C" w14:textId="77777777" w:rsidR="001628A9" w:rsidRDefault="001628A9" w:rsidP="00D517FB">
      <w:pPr>
        <w:ind w:firstLine="720"/>
        <w:rPr>
          <w:rFonts w:ascii="Times New Roman" w:hAnsi="Times New Roman"/>
          <w:sz w:val="22"/>
          <w:szCs w:val="22"/>
        </w:rPr>
      </w:pPr>
    </w:p>
    <w:p w14:paraId="0173E693" w14:textId="77777777" w:rsidR="007860E9" w:rsidRDefault="007860E9" w:rsidP="00D517FB">
      <w:pPr>
        <w:ind w:firstLine="720"/>
        <w:rPr>
          <w:rFonts w:ascii="Times New Roman" w:hAnsi="Times New Roman"/>
          <w:sz w:val="22"/>
          <w:szCs w:val="22"/>
        </w:rPr>
      </w:pPr>
      <w:r w:rsidRPr="007860E9">
        <w:rPr>
          <w:noProof/>
        </w:rPr>
        <w:drawing>
          <wp:inline distT="0" distB="0" distL="0" distR="0" wp14:anchorId="4DB8D379" wp14:editId="4695AE2F">
            <wp:extent cx="5343525" cy="1181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1181100"/>
                    </a:xfrm>
                    <a:prstGeom prst="rect">
                      <a:avLst/>
                    </a:prstGeom>
                    <a:noFill/>
                    <a:ln>
                      <a:noFill/>
                    </a:ln>
                  </pic:spPr>
                </pic:pic>
              </a:graphicData>
            </a:graphic>
          </wp:inline>
        </w:drawing>
      </w:r>
    </w:p>
    <w:p w14:paraId="6BEE0027" w14:textId="77777777" w:rsidR="007860E9" w:rsidRDefault="007860E9" w:rsidP="005E1008">
      <w:pPr>
        <w:ind w:firstLine="720"/>
        <w:rPr>
          <w:rFonts w:ascii="Times New Roman" w:hAnsi="Times New Roman"/>
          <w:sz w:val="22"/>
          <w:szCs w:val="22"/>
        </w:rPr>
      </w:pPr>
    </w:p>
    <w:p w14:paraId="2488C677" w14:textId="77777777" w:rsidR="005E1008" w:rsidRDefault="005E1008" w:rsidP="005E1008">
      <w:pPr>
        <w:ind w:firstLine="720"/>
        <w:rPr>
          <w:rFonts w:ascii="Times New Roman" w:hAnsi="Times New Roman"/>
          <w:sz w:val="22"/>
          <w:szCs w:val="22"/>
        </w:rPr>
      </w:pPr>
      <w:r w:rsidRPr="00567A8B">
        <w:rPr>
          <w:rFonts w:ascii="Times New Roman" w:hAnsi="Times New Roman"/>
          <w:sz w:val="22"/>
          <w:szCs w:val="22"/>
        </w:rPr>
        <w:t xml:space="preserve">As discussed in the </w:t>
      </w:r>
      <w:r w:rsidRPr="005E1008">
        <w:rPr>
          <w:rFonts w:ascii="Times New Roman" w:hAnsi="Times New Roman"/>
          <w:i/>
          <w:sz w:val="22"/>
          <w:szCs w:val="22"/>
        </w:rPr>
        <w:t>NPRM</w:t>
      </w:r>
      <w:r>
        <w:rPr>
          <w:rFonts w:ascii="Times New Roman" w:hAnsi="Times New Roman"/>
          <w:i/>
          <w:sz w:val="22"/>
          <w:szCs w:val="22"/>
        </w:rPr>
        <w:t>,</w:t>
      </w:r>
      <w:r w:rsidRPr="00567A8B">
        <w:rPr>
          <w:rFonts w:ascii="Times New Roman" w:hAnsi="Times New Roman"/>
          <w:sz w:val="22"/>
          <w:szCs w:val="22"/>
        </w:rPr>
        <w:t xml:space="preserve"> the Commission proposed a structure to keep the downlink spectrum band consistent nationwide while allowing variations in the amount of uplink spectrum available in any geographic area</w:t>
      </w:r>
      <w:r w:rsidR="009E3265">
        <w:rPr>
          <w:rFonts w:ascii="Times New Roman" w:hAnsi="Times New Roman"/>
          <w:sz w:val="22"/>
          <w:szCs w:val="22"/>
        </w:rPr>
        <w:t xml:space="preserve"> to promote interoperability and accommodate market variation</w:t>
      </w:r>
      <w:r w:rsidRPr="00567A8B">
        <w:rPr>
          <w:rFonts w:ascii="Times New Roman" w:hAnsi="Times New Roman"/>
          <w:sz w:val="22"/>
          <w:szCs w:val="22"/>
        </w:rPr>
        <w:t>.</w:t>
      </w:r>
      <w:r>
        <w:rPr>
          <w:rStyle w:val="FootnoteReference"/>
          <w:szCs w:val="22"/>
        </w:rPr>
        <w:footnoteReference w:id="20"/>
      </w:r>
      <w:r w:rsidRPr="00567A8B">
        <w:rPr>
          <w:rFonts w:ascii="Times New Roman" w:hAnsi="Times New Roman"/>
          <w:sz w:val="22"/>
          <w:szCs w:val="22"/>
        </w:rPr>
        <w:t xml:space="preserve"> </w:t>
      </w:r>
      <w:r>
        <w:rPr>
          <w:rFonts w:ascii="Times New Roman" w:hAnsi="Times New Roman"/>
          <w:sz w:val="22"/>
          <w:szCs w:val="22"/>
        </w:rPr>
        <w:t xml:space="preserve"> </w:t>
      </w:r>
      <w:r w:rsidR="0078627B">
        <w:rPr>
          <w:rFonts w:ascii="Times New Roman" w:hAnsi="Times New Roman"/>
          <w:sz w:val="22"/>
          <w:szCs w:val="22"/>
        </w:rPr>
        <w:t>As shown in the diagrams below, b</w:t>
      </w:r>
      <w:r w:rsidRPr="00567A8B">
        <w:rPr>
          <w:rFonts w:ascii="Times New Roman" w:hAnsi="Times New Roman"/>
          <w:sz w:val="22"/>
          <w:szCs w:val="22"/>
        </w:rPr>
        <w:t>y reversing the uplink and downlink bands,</w:t>
      </w:r>
      <w:r>
        <w:rPr>
          <w:rFonts w:ascii="Times New Roman" w:hAnsi="Times New Roman"/>
          <w:sz w:val="22"/>
          <w:szCs w:val="22"/>
        </w:rPr>
        <w:t xml:space="preserve"> the </w:t>
      </w:r>
      <w:r w:rsidRPr="00567A8B">
        <w:rPr>
          <w:rFonts w:ascii="Times New Roman" w:hAnsi="Times New Roman"/>
          <w:sz w:val="22"/>
          <w:szCs w:val="22"/>
        </w:rPr>
        <w:t xml:space="preserve">Down from 51 Reversed </w:t>
      </w:r>
      <w:r>
        <w:rPr>
          <w:rFonts w:ascii="Times New Roman" w:hAnsi="Times New Roman"/>
          <w:sz w:val="22"/>
          <w:szCs w:val="22"/>
        </w:rPr>
        <w:t xml:space="preserve">band plan framework </w:t>
      </w:r>
      <w:r w:rsidRPr="00567A8B">
        <w:rPr>
          <w:rFonts w:ascii="Times New Roman" w:hAnsi="Times New Roman"/>
          <w:sz w:val="22"/>
          <w:szCs w:val="22"/>
        </w:rPr>
        <w:t xml:space="preserve">can maintain a uniform downlink band nationwide and </w:t>
      </w:r>
      <w:r w:rsidR="00FC5DDF">
        <w:rPr>
          <w:rFonts w:ascii="Times New Roman" w:hAnsi="Times New Roman"/>
          <w:sz w:val="22"/>
          <w:szCs w:val="22"/>
        </w:rPr>
        <w:t>allow for market variation in the</w:t>
      </w:r>
      <w:r w:rsidRPr="00567A8B">
        <w:rPr>
          <w:rFonts w:ascii="Times New Roman" w:hAnsi="Times New Roman"/>
          <w:sz w:val="22"/>
          <w:szCs w:val="22"/>
        </w:rPr>
        <w:t xml:space="preserve"> amount of uplink spectrum </w:t>
      </w:r>
      <w:r w:rsidR="00FC5DDF">
        <w:rPr>
          <w:rFonts w:ascii="Times New Roman" w:hAnsi="Times New Roman"/>
          <w:sz w:val="22"/>
          <w:szCs w:val="22"/>
        </w:rPr>
        <w:t xml:space="preserve">offered </w:t>
      </w:r>
      <w:r w:rsidRPr="00567A8B">
        <w:rPr>
          <w:rFonts w:ascii="Times New Roman" w:hAnsi="Times New Roman"/>
          <w:sz w:val="22"/>
          <w:szCs w:val="22"/>
        </w:rPr>
        <w:t>without</w:t>
      </w:r>
      <w:r w:rsidR="0078627B">
        <w:rPr>
          <w:rFonts w:ascii="Times New Roman" w:hAnsi="Times New Roman"/>
          <w:sz w:val="22"/>
          <w:szCs w:val="22"/>
        </w:rPr>
        <w:t xml:space="preserve"> placing</w:t>
      </w:r>
      <w:r w:rsidRPr="00567A8B">
        <w:rPr>
          <w:rFonts w:ascii="Times New Roman" w:hAnsi="Times New Roman"/>
          <w:sz w:val="22"/>
          <w:szCs w:val="22"/>
        </w:rPr>
        <w:t xml:space="preserve"> high power services in the duplex gap.</w:t>
      </w:r>
      <w:r>
        <w:rPr>
          <w:rFonts w:ascii="Times New Roman" w:hAnsi="Times New Roman"/>
          <w:sz w:val="22"/>
          <w:szCs w:val="22"/>
        </w:rPr>
        <w:t xml:space="preserve">  </w:t>
      </w:r>
    </w:p>
    <w:p w14:paraId="2E328518" w14:textId="77777777" w:rsidR="00567A8B" w:rsidRDefault="00567A8B" w:rsidP="007860E9">
      <w:pPr>
        <w:rPr>
          <w:rFonts w:ascii="Times New Roman" w:hAnsi="Times New Roman"/>
          <w:sz w:val="22"/>
          <w:szCs w:val="22"/>
        </w:rPr>
      </w:pPr>
    </w:p>
    <w:p w14:paraId="6328B698" w14:textId="3E7052D1" w:rsidR="005E1008" w:rsidRDefault="00DE7878" w:rsidP="007860E9">
      <w:pPr>
        <w:jc w:val="center"/>
        <w:rPr>
          <w:rFonts w:ascii="Times New Roman" w:hAnsi="Times New Roman"/>
          <w:sz w:val="22"/>
          <w:szCs w:val="22"/>
        </w:rPr>
      </w:pPr>
      <w:r>
        <w:rPr>
          <w:rFonts w:ascii="Times New Roman" w:hAnsi="Times New Roman"/>
          <w:b/>
          <w:sz w:val="22"/>
          <w:szCs w:val="22"/>
        </w:rPr>
        <w:t xml:space="preserve">Market Variation in Down from 51 Reversed, less than 84 MHz cleared </w:t>
      </w:r>
      <w:r w:rsidR="007860E9" w:rsidRPr="007860E9">
        <w:rPr>
          <w:noProof/>
        </w:rPr>
        <w:drawing>
          <wp:inline distT="0" distB="0" distL="0" distR="0" wp14:anchorId="77482A1F" wp14:editId="2684DA6E">
            <wp:extent cx="5343525" cy="1219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1219200"/>
                    </a:xfrm>
                    <a:prstGeom prst="rect">
                      <a:avLst/>
                    </a:prstGeom>
                    <a:noFill/>
                    <a:ln>
                      <a:noFill/>
                    </a:ln>
                  </pic:spPr>
                </pic:pic>
              </a:graphicData>
            </a:graphic>
          </wp:inline>
        </w:drawing>
      </w:r>
    </w:p>
    <w:p w14:paraId="2BF1CCFF" w14:textId="77777777" w:rsidR="00C9759D" w:rsidRPr="00C9759D" w:rsidRDefault="00C9759D" w:rsidP="007860E9">
      <w:pPr>
        <w:ind w:firstLine="720"/>
        <w:jc w:val="center"/>
        <w:rPr>
          <w:rFonts w:ascii="Times New Roman" w:hAnsi="Times New Roman"/>
          <w:b/>
          <w:sz w:val="10"/>
          <w:szCs w:val="10"/>
        </w:rPr>
      </w:pPr>
    </w:p>
    <w:p w14:paraId="76521C10" w14:textId="4BA2A95B" w:rsidR="007860E9" w:rsidRPr="007860E9" w:rsidRDefault="007860E9" w:rsidP="007860E9">
      <w:pPr>
        <w:ind w:firstLine="720"/>
        <w:jc w:val="center"/>
        <w:rPr>
          <w:rFonts w:ascii="Times New Roman" w:hAnsi="Times New Roman"/>
          <w:b/>
          <w:sz w:val="22"/>
          <w:szCs w:val="22"/>
        </w:rPr>
      </w:pPr>
    </w:p>
    <w:p w14:paraId="6E80CEFD" w14:textId="77777777" w:rsidR="00DE7878" w:rsidRPr="007860E9" w:rsidRDefault="00DE7878" w:rsidP="00DE7878">
      <w:pPr>
        <w:ind w:firstLine="720"/>
        <w:jc w:val="center"/>
        <w:rPr>
          <w:rFonts w:ascii="Times New Roman" w:hAnsi="Times New Roman"/>
          <w:b/>
          <w:sz w:val="22"/>
          <w:szCs w:val="22"/>
        </w:rPr>
      </w:pPr>
      <w:r>
        <w:rPr>
          <w:rFonts w:ascii="Times New Roman" w:hAnsi="Times New Roman"/>
          <w:b/>
          <w:sz w:val="22"/>
          <w:szCs w:val="22"/>
        </w:rPr>
        <w:t xml:space="preserve">Market Variation in Down from 51 Reversed, more than 84 MHz cleared </w:t>
      </w:r>
    </w:p>
    <w:p w14:paraId="470B9250" w14:textId="77777777" w:rsidR="007860E9" w:rsidRDefault="007860E9" w:rsidP="005E1008">
      <w:pPr>
        <w:rPr>
          <w:rFonts w:ascii="Times New Roman" w:hAnsi="Times New Roman"/>
          <w:sz w:val="22"/>
          <w:szCs w:val="22"/>
        </w:rPr>
      </w:pPr>
    </w:p>
    <w:p w14:paraId="21F8F4AF" w14:textId="77777777" w:rsidR="007860E9" w:rsidRDefault="007860E9" w:rsidP="007860E9">
      <w:pPr>
        <w:keepNext/>
        <w:jc w:val="center"/>
        <w:rPr>
          <w:rFonts w:ascii="Times New Roman" w:hAnsi="Times New Roman"/>
          <w:sz w:val="22"/>
          <w:szCs w:val="22"/>
        </w:rPr>
      </w:pPr>
      <w:r w:rsidRPr="007860E9">
        <w:rPr>
          <w:noProof/>
        </w:rPr>
        <w:drawing>
          <wp:inline distT="0" distB="0" distL="0" distR="0" wp14:anchorId="51BC687B" wp14:editId="44010B34">
            <wp:extent cx="5343525" cy="1562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1562100"/>
                    </a:xfrm>
                    <a:prstGeom prst="rect">
                      <a:avLst/>
                    </a:prstGeom>
                    <a:noFill/>
                    <a:ln>
                      <a:noFill/>
                    </a:ln>
                  </pic:spPr>
                </pic:pic>
              </a:graphicData>
            </a:graphic>
          </wp:inline>
        </w:drawing>
      </w:r>
    </w:p>
    <w:p w14:paraId="66CFAD72" w14:textId="77777777" w:rsidR="00C9759D" w:rsidRPr="00C9759D" w:rsidRDefault="00C9759D" w:rsidP="007860E9">
      <w:pPr>
        <w:ind w:firstLine="720"/>
        <w:jc w:val="center"/>
        <w:rPr>
          <w:rFonts w:ascii="Times New Roman" w:hAnsi="Times New Roman"/>
          <w:b/>
          <w:sz w:val="10"/>
          <w:szCs w:val="10"/>
        </w:rPr>
      </w:pPr>
    </w:p>
    <w:p w14:paraId="08D5CDA5" w14:textId="77777777" w:rsidR="007860E9" w:rsidRDefault="007860E9" w:rsidP="007860E9">
      <w:pPr>
        <w:jc w:val="center"/>
        <w:rPr>
          <w:rFonts w:ascii="Times New Roman" w:hAnsi="Times New Roman"/>
          <w:sz w:val="22"/>
          <w:szCs w:val="22"/>
        </w:rPr>
      </w:pPr>
    </w:p>
    <w:p w14:paraId="0D3EF5B5" w14:textId="320B6E10" w:rsidR="0046737F" w:rsidRDefault="0046737F" w:rsidP="00E046BA">
      <w:pPr>
        <w:ind w:firstLine="720"/>
        <w:rPr>
          <w:rFonts w:ascii="Times New Roman" w:hAnsi="Times New Roman"/>
          <w:sz w:val="22"/>
          <w:szCs w:val="22"/>
        </w:rPr>
      </w:pPr>
      <w:r>
        <w:rPr>
          <w:rFonts w:ascii="Times New Roman" w:hAnsi="Times New Roman"/>
          <w:sz w:val="22"/>
          <w:szCs w:val="22"/>
        </w:rPr>
        <w:t>We seek comment on the Down from 51 Reversed band plan variation.</w:t>
      </w:r>
      <w:r w:rsidR="002B22D1">
        <w:rPr>
          <w:rFonts w:ascii="Times New Roman" w:hAnsi="Times New Roman"/>
          <w:sz w:val="22"/>
          <w:szCs w:val="22"/>
        </w:rPr>
        <w:t xml:space="preserve"> </w:t>
      </w:r>
      <w:r w:rsidRPr="0046737F">
        <w:rPr>
          <w:rFonts w:ascii="Times New Roman" w:hAnsi="Times New Roman"/>
          <w:sz w:val="22"/>
          <w:szCs w:val="22"/>
        </w:rPr>
        <w:t xml:space="preserve"> </w:t>
      </w:r>
      <w:r w:rsidR="00EE051B">
        <w:rPr>
          <w:rFonts w:ascii="Times New Roman" w:hAnsi="Times New Roman"/>
          <w:sz w:val="22"/>
          <w:szCs w:val="22"/>
        </w:rPr>
        <w:t>Are there any special considerations or rules that would be necessary i</w:t>
      </w:r>
      <w:r w:rsidR="00AB179B">
        <w:rPr>
          <w:rFonts w:ascii="Times New Roman" w:hAnsi="Times New Roman"/>
          <w:sz w:val="22"/>
          <w:szCs w:val="22"/>
        </w:rPr>
        <w:t xml:space="preserve">n implementing </w:t>
      </w:r>
      <w:r w:rsidR="00EE051B">
        <w:rPr>
          <w:rFonts w:ascii="Times New Roman" w:hAnsi="Times New Roman"/>
          <w:sz w:val="22"/>
          <w:szCs w:val="22"/>
        </w:rPr>
        <w:t xml:space="preserve">this approach?  </w:t>
      </w:r>
      <w:r>
        <w:rPr>
          <w:rFonts w:ascii="Times New Roman" w:hAnsi="Times New Roman"/>
          <w:sz w:val="22"/>
          <w:szCs w:val="22"/>
        </w:rPr>
        <w:t xml:space="preserve">We also seek comment on technical issues associated with the </w:t>
      </w:r>
      <w:r w:rsidRPr="0018414C">
        <w:rPr>
          <w:rFonts w:ascii="Times New Roman" w:hAnsi="Times New Roman"/>
          <w:sz w:val="22"/>
          <w:szCs w:val="22"/>
        </w:rPr>
        <w:t>Down from 51 Reversed</w:t>
      </w:r>
      <w:r>
        <w:rPr>
          <w:rFonts w:ascii="Times New Roman" w:hAnsi="Times New Roman"/>
          <w:sz w:val="22"/>
          <w:szCs w:val="22"/>
        </w:rPr>
        <w:t xml:space="preserve"> band plan.  Specifically, we request comment on how this band plan approach would affect the ability of wireless broadband providers to utilize the 600 MHz band effectively, particularly in terms of network and device design.  </w:t>
      </w:r>
      <w:r w:rsidR="003761F2">
        <w:rPr>
          <w:rFonts w:ascii="Times New Roman" w:hAnsi="Times New Roman"/>
          <w:sz w:val="22"/>
          <w:szCs w:val="22"/>
        </w:rPr>
        <w:t>Further</w:t>
      </w:r>
      <w:r w:rsidR="003761F2" w:rsidRPr="003761F2">
        <w:rPr>
          <w:rFonts w:ascii="Times New Roman" w:hAnsi="Times New Roman"/>
          <w:sz w:val="22"/>
          <w:szCs w:val="22"/>
        </w:rPr>
        <w:t xml:space="preserve">, we seek comment on whether the Down from 51 Reversed approach </w:t>
      </w:r>
      <w:r w:rsidR="00DE7878">
        <w:rPr>
          <w:rFonts w:ascii="Times New Roman" w:hAnsi="Times New Roman"/>
          <w:sz w:val="22"/>
          <w:szCs w:val="22"/>
        </w:rPr>
        <w:t xml:space="preserve">would </w:t>
      </w:r>
      <w:r w:rsidR="003761F2" w:rsidRPr="003761F2">
        <w:rPr>
          <w:rFonts w:ascii="Times New Roman" w:hAnsi="Times New Roman"/>
          <w:sz w:val="22"/>
          <w:szCs w:val="22"/>
        </w:rPr>
        <w:t>provide greater flexibility with respect to market variation than other Down from 51 band plan proposals.</w:t>
      </w:r>
      <w:r w:rsidR="003761F2" w:rsidRPr="003761F2">
        <w:rPr>
          <w:rFonts w:ascii="Times New Roman" w:hAnsi="Times New Roman"/>
          <w:spacing w:val="-2"/>
          <w:sz w:val="22"/>
          <w:szCs w:val="22"/>
          <w:vertAlign w:val="superscript"/>
        </w:rPr>
        <w:footnoteReference w:id="21"/>
      </w:r>
      <w:r w:rsidR="003761F2" w:rsidRPr="003761F2">
        <w:rPr>
          <w:rFonts w:ascii="Times New Roman" w:hAnsi="Times New Roman"/>
          <w:sz w:val="22"/>
          <w:szCs w:val="22"/>
        </w:rPr>
        <w:t xml:space="preserve">  </w:t>
      </w:r>
      <w:r w:rsidR="003761F2">
        <w:rPr>
          <w:rFonts w:ascii="Times New Roman" w:hAnsi="Times New Roman"/>
          <w:sz w:val="22"/>
          <w:szCs w:val="22"/>
        </w:rPr>
        <w:t xml:space="preserve">We ask commenters to discuss the tradeoffs associated with accommodating market variation under the Down from 51 Reversed band plan and the other band plan proposals in the record.  </w:t>
      </w:r>
    </w:p>
    <w:p w14:paraId="4364CE29" w14:textId="77777777" w:rsidR="0046737F" w:rsidRDefault="0046737F" w:rsidP="00CA1EA3">
      <w:pPr>
        <w:ind w:firstLine="720"/>
        <w:rPr>
          <w:rFonts w:ascii="Times New Roman" w:hAnsi="Times New Roman"/>
          <w:sz w:val="22"/>
          <w:szCs w:val="22"/>
        </w:rPr>
      </w:pPr>
    </w:p>
    <w:p w14:paraId="0D45D796" w14:textId="6998419D" w:rsidR="00247FBF" w:rsidRDefault="00E046BA" w:rsidP="00CA1EA3">
      <w:pPr>
        <w:ind w:firstLine="720"/>
        <w:rPr>
          <w:rFonts w:ascii="Times New Roman" w:hAnsi="Times New Roman"/>
          <w:sz w:val="22"/>
          <w:szCs w:val="22"/>
        </w:rPr>
      </w:pPr>
      <w:r w:rsidRPr="00E046BA">
        <w:rPr>
          <w:rFonts w:ascii="Times New Roman" w:hAnsi="Times New Roman"/>
          <w:i/>
          <w:sz w:val="22"/>
          <w:szCs w:val="22"/>
        </w:rPr>
        <w:t>Guard Bands</w:t>
      </w:r>
      <w:r>
        <w:rPr>
          <w:rFonts w:ascii="Times New Roman" w:hAnsi="Times New Roman"/>
          <w:sz w:val="22"/>
          <w:szCs w:val="22"/>
        </w:rPr>
        <w:t xml:space="preserve">.  </w:t>
      </w:r>
      <w:r w:rsidR="0046737F">
        <w:rPr>
          <w:rFonts w:ascii="Times New Roman" w:hAnsi="Times New Roman"/>
          <w:sz w:val="22"/>
          <w:szCs w:val="22"/>
        </w:rPr>
        <w:t xml:space="preserve">Like other band plan proposals, </w:t>
      </w:r>
      <w:r w:rsidR="00F66DFC">
        <w:rPr>
          <w:rFonts w:ascii="Times New Roman" w:hAnsi="Times New Roman"/>
          <w:sz w:val="22"/>
          <w:szCs w:val="22"/>
        </w:rPr>
        <w:t xml:space="preserve">in </w:t>
      </w:r>
      <w:r w:rsidR="0078627B">
        <w:rPr>
          <w:rFonts w:ascii="Times New Roman" w:hAnsi="Times New Roman"/>
          <w:sz w:val="22"/>
          <w:szCs w:val="22"/>
        </w:rPr>
        <w:t xml:space="preserve">a </w:t>
      </w:r>
      <w:r w:rsidR="0072016E" w:rsidRPr="0018414C">
        <w:rPr>
          <w:rFonts w:ascii="Times New Roman" w:hAnsi="Times New Roman"/>
          <w:sz w:val="22"/>
          <w:szCs w:val="22"/>
        </w:rPr>
        <w:t>Down from 51 Reversed</w:t>
      </w:r>
      <w:r w:rsidR="0078627B">
        <w:rPr>
          <w:rFonts w:ascii="Times New Roman" w:hAnsi="Times New Roman"/>
          <w:sz w:val="22"/>
          <w:szCs w:val="22"/>
        </w:rPr>
        <w:t xml:space="preserve"> band plan</w:t>
      </w:r>
      <w:r w:rsidR="0072016E">
        <w:rPr>
          <w:rFonts w:ascii="Times New Roman" w:hAnsi="Times New Roman"/>
          <w:sz w:val="22"/>
          <w:szCs w:val="22"/>
        </w:rPr>
        <w:t xml:space="preserve">, </w:t>
      </w:r>
      <w:r w:rsidR="0078627B">
        <w:rPr>
          <w:rFonts w:ascii="Times New Roman" w:hAnsi="Times New Roman"/>
          <w:sz w:val="22"/>
          <w:szCs w:val="22"/>
        </w:rPr>
        <w:t xml:space="preserve">we must implement </w:t>
      </w:r>
      <w:r w:rsidR="0046737F">
        <w:rPr>
          <w:rFonts w:ascii="Times New Roman" w:hAnsi="Times New Roman"/>
          <w:sz w:val="22"/>
          <w:szCs w:val="22"/>
        </w:rPr>
        <w:t>guard bands to ensure all spectrum blocks are as technically and functionally interchangeable as possible.</w:t>
      </w:r>
      <w:r w:rsidR="0046737F">
        <w:rPr>
          <w:rStyle w:val="FootnoteReference"/>
          <w:szCs w:val="22"/>
        </w:rPr>
        <w:footnoteReference w:id="22"/>
      </w:r>
      <w:r w:rsidR="0046737F">
        <w:rPr>
          <w:rFonts w:ascii="Times New Roman" w:hAnsi="Times New Roman"/>
          <w:sz w:val="22"/>
          <w:szCs w:val="22"/>
        </w:rPr>
        <w:t xml:space="preserve">  </w:t>
      </w:r>
      <w:r w:rsidR="00247FBF">
        <w:rPr>
          <w:rFonts w:ascii="Times New Roman" w:hAnsi="Times New Roman"/>
          <w:sz w:val="22"/>
          <w:szCs w:val="22"/>
        </w:rPr>
        <w:t xml:space="preserve">Specifically, we would need to implement </w:t>
      </w:r>
      <w:r w:rsidR="0072016E">
        <w:rPr>
          <w:rFonts w:ascii="Times New Roman" w:hAnsi="Times New Roman"/>
          <w:sz w:val="22"/>
          <w:szCs w:val="22"/>
        </w:rPr>
        <w:t>a guard band</w:t>
      </w:r>
      <w:r w:rsidR="00247FBF">
        <w:rPr>
          <w:rFonts w:ascii="Times New Roman" w:hAnsi="Times New Roman"/>
          <w:sz w:val="22"/>
          <w:szCs w:val="22"/>
        </w:rPr>
        <w:t xml:space="preserve"> at the top of the 600 MHz wireless band</w:t>
      </w:r>
      <w:r w:rsidR="0072016E">
        <w:rPr>
          <w:rFonts w:ascii="Times New Roman" w:hAnsi="Times New Roman"/>
          <w:sz w:val="22"/>
          <w:szCs w:val="22"/>
        </w:rPr>
        <w:t xml:space="preserve"> between the </w:t>
      </w:r>
      <w:r w:rsidR="0078627B">
        <w:rPr>
          <w:rFonts w:ascii="Times New Roman" w:hAnsi="Times New Roman"/>
          <w:sz w:val="22"/>
          <w:szCs w:val="22"/>
        </w:rPr>
        <w:t>600 MHz downlink</w:t>
      </w:r>
      <w:r w:rsidR="0072016E">
        <w:rPr>
          <w:rFonts w:ascii="Times New Roman" w:hAnsi="Times New Roman"/>
          <w:sz w:val="22"/>
          <w:szCs w:val="22"/>
        </w:rPr>
        <w:t xml:space="preserve"> band </w:t>
      </w:r>
      <w:r w:rsidR="00E05C0B">
        <w:rPr>
          <w:rFonts w:ascii="Times New Roman" w:hAnsi="Times New Roman"/>
          <w:sz w:val="22"/>
          <w:szCs w:val="22"/>
        </w:rPr>
        <w:t xml:space="preserve">and </w:t>
      </w:r>
      <w:r w:rsidR="0072016E">
        <w:rPr>
          <w:rFonts w:ascii="Times New Roman" w:hAnsi="Times New Roman"/>
          <w:sz w:val="22"/>
          <w:szCs w:val="22"/>
        </w:rPr>
        <w:t xml:space="preserve">the lower 700 MHz </w:t>
      </w:r>
      <w:r w:rsidR="0078627B">
        <w:rPr>
          <w:rFonts w:ascii="Times New Roman" w:hAnsi="Times New Roman"/>
          <w:sz w:val="22"/>
          <w:szCs w:val="22"/>
        </w:rPr>
        <w:t xml:space="preserve">uplink </w:t>
      </w:r>
      <w:r w:rsidR="0072016E">
        <w:rPr>
          <w:rFonts w:ascii="Times New Roman" w:hAnsi="Times New Roman"/>
          <w:sz w:val="22"/>
          <w:szCs w:val="22"/>
        </w:rPr>
        <w:t>band</w:t>
      </w:r>
      <w:r w:rsidR="00247FBF">
        <w:rPr>
          <w:rFonts w:ascii="Times New Roman" w:hAnsi="Times New Roman"/>
          <w:sz w:val="22"/>
          <w:szCs w:val="22"/>
        </w:rPr>
        <w:t xml:space="preserve"> to protect these services from interfering with one another</w:t>
      </w:r>
      <w:r w:rsidR="0072016E">
        <w:rPr>
          <w:rFonts w:ascii="Times New Roman" w:hAnsi="Times New Roman"/>
          <w:sz w:val="22"/>
          <w:szCs w:val="22"/>
        </w:rPr>
        <w:t>.</w:t>
      </w:r>
      <w:r w:rsidR="0072016E">
        <w:rPr>
          <w:rStyle w:val="FootnoteReference"/>
          <w:szCs w:val="22"/>
        </w:rPr>
        <w:footnoteReference w:id="23"/>
      </w:r>
      <w:r w:rsidR="0072016E">
        <w:rPr>
          <w:rFonts w:ascii="Times New Roman" w:hAnsi="Times New Roman"/>
          <w:sz w:val="22"/>
          <w:szCs w:val="22"/>
        </w:rPr>
        <w:t xml:space="preserve">  </w:t>
      </w:r>
      <w:r w:rsidR="00247FBF">
        <w:rPr>
          <w:rFonts w:ascii="Times New Roman" w:hAnsi="Times New Roman"/>
          <w:sz w:val="22"/>
          <w:szCs w:val="22"/>
        </w:rPr>
        <w:t>Similarly, we would need to implement a guard band at the lower end of the 600 MHz wireless band between the 600 MHz uplink band and broadcast television stations.  We seek comment on the appropriate size of the guard bands under this proposal</w:t>
      </w:r>
      <w:r w:rsidR="00EA3AE7">
        <w:rPr>
          <w:rFonts w:ascii="Times New Roman" w:hAnsi="Times New Roman"/>
          <w:sz w:val="22"/>
          <w:szCs w:val="22"/>
        </w:rPr>
        <w:t xml:space="preserve">. </w:t>
      </w:r>
      <w:r w:rsidR="000A51AC">
        <w:rPr>
          <w:rFonts w:ascii="Times New Roman" w:hAnsi="Times New Roman"/>
          <w:sz w:val="22"/>
          <w:szCs w:val="22"/>
        </w:rPr>
        <w:t xml:space="preserve"> </w:t>
      </w:r>
    </w:p>
    <w:p w14:paraId="4B6C3D0E" w14:textId="77777777" w:rsidR="00247FBF" w:rsidRDefault="00247FBF" w:rsidP="00CA1EA3">
      <w:pPr>
        <w:ind w:firstLine="720"/>
        <w:rPr>
          <w:rFonts w:ascii="Times New Roman" w:hAnsi="Times New Roman"/>
          <w:sz w:val="22"/>
          <w:szCs w:val="22"/>
        </w:rPr>
      </w:pPr>
    </w:p>
    <w:p w14:paraId="126F1855" w14:textId="1BA17D25" w:rsidR="0072016E" w:rsidRDefault="00E31A41" w:rsidP="00CA1EA3">
      <w:pPr>
        <w:ind w:firstLine="720"/>
        <w:rPr>
          <w:rFonts w:ascii="Times New Roman" w:hAnsi="Times New Roman"/>
          <w:sz w:val="22"/>
          <w:szCs w:val="22"/>
        </w:rPr>
      </w:pPr>
      <w:r w:rsidRPr="00DD44D7">
        <w:rPr>
          <w:rFonts w:ascii="Times New Roman" w:hAnsi="Times New Roman"/>
          <w:i/>
          <w:sz w:val="22"/>
          <w:szCs w:val="22"/>
        </w:rPr>
        <w:t>Channel 37</w:t>
      </w:r>
      <w:r>
        <w:rPr>
          <w:rFonts w:ascii="Times New Roman" w:hAnsi="Times New Roman"/>
          <w:sz w:val="22"/>
          <w:szCs w:val="22"/>
        </w:rPr>
        <w:t xml:space="preserve">. </w:t>
      </w:r>
      <w:r w:rsidR="00DE7878">
        <w:rPr>
          <w:rFonts w:ascii="Times New Roman" w:hAnsi="Times New Roman"/>
          <w:sz w:val="22"/>
          <w:szCs w:val="22"/>
        </w:rPr>
        <w:t xml:space="preserve"> U</w:t>
      </w:r>
      <w:r w:rsidR="00A10B24">
        <w:rPr>
          <w:rFonts w:ascii="Times New Roman" w:hAnsi="Times New Roman"/>
          <w:sz w:val="22"/>
          <w:szCs w:val="22"/>
        </w:rPr>
        <w:t>nder a Down from 51 Reversed band plan, it is possible that 600 MHz wireless operations could be adjacent to radio astronomy (RA) and wireless medical telemetry services (WMTS)</w:t>
      </w:r>
      <w:r w:rsidR="001628A9">
        <w:rPr>
          <w:rFonts w:ascii="Times New Roman" w:hAnsi="Times New Roman"/>
          <w:sz w:val="22"/>
          <w:szCs w:val="22"/>
        </w:rPr>
        <w:t xml:space="preserve"> </w:t>
      </w:r>
      <w:r w:rsidR="00A10B24">
        <w:rPr>
          <w:rFonts w:ascii="Times New Roman" w:hAnsi="Times New Roman"/>
          <w:sz w:val="22"/>
          <w:szCs w:val="22"/>
        </w:rPr>
        <w:t xml:space="preserve">operations in </w:t>
      </w:r>
      <w:r w:rsidR="00487F3F">
        <w:rPr>
          <w:rFonts w:ascii="Times New Roman" w:hAnsi="Times New Roman"/>
          <w:sz w:val="22"/>
          <w:szCs w:val="22"/>
        </w:rPr>
        <w:t>c</w:t>
      </w:r>
      <w:r w:rsidR="00A10B24">
        <w:rPr>
          <w:rFonts w:ascii="Times New Roman" w:hAnsi="Times New Roman"/>
          <w:sz w:val="22"/>
          <w:szCs w:val="22"/>
        </w:rPr>
        <w:t xml:space="preserve">hannel 37, conceivably on both sides, if the 600 MHz uplink band extends below </w:t>
      </w:r>
      <w:r w:rsidR="00487F3F">
        <w:rPr>
          <w:rFonts w:ascii="Times New Roman" w:hAnsi="Times New Roman"/>
          <w:sz w:val="22"/>
          <w:szCs w:val="22"/>
        </w:rPr>
        <w:t>c</w:t>
      </w:r>
      <w:r w:rsidR="00A10B24">
        <w:rPr>
          <w:rFonts w:ascii="Times New Roman" w:hAnsi="Times New Roman"/>
          <w:sz w:val="22"/>
          <w:szCs w:val="22"/>
        </w:rPr>
        <w:t>hannel 37.    W</w:t>
      </w:r>
      <w:r w:rsidR="0089750B">
        <w:rPr>
          <w:rFonts w:ascii="Times New Roman" w:hAnsi="Times New Roman"/>
          <w:sz w:val="22"/>
          <w:szCs w:val="22"/>
        </w:rPr>
        <w:t>ould the Down from 51 Reversed band plan require additional measures to</w:t>
      </w:r>
      <w:r w:rsidR="0072016E">
        <w:rPr>
          <w:rFonts w:ascii="Times New Roman" w:hAnsi="Times New Roman"/>
          <w:sz w:val="22"/>
          <w:szCs w:val="22"/>
        </w:rPr>
        <w:t xml:space="preserve"> protect </w:t>
      </w:r>
      <w:r w:rsidR="0089750B">
        <w:rPr>
          <w:rFonts w:ascii="Times New Roman" w:hAnsi="Times New Roman"/>
          <w:sz w:val="22"/>
          <w:szCs w:val="22"/>
        </w:rPr>
        <w:t xml:space="preserve">existing </w:t>
      </w:r>
      <w:r w:rsidR="0072016E">
        <w:rPr>
          <w:rFonts w:ascii="Times New Roman" w:hAnsi="Times New Roman"/>
          <w:sz w:val="22"/>
          <w:szCs w:val="22"/>
        </w:rPr>
        <w:t>channel 37 operations</w:t>
      </w:r>
      <w:r w:rsidR="0089750B">
        <w:rPr>
          <w:rFonts w:ascii="Times New Roman" w:hAnsi="Times New Roman"/>
          <w:sz w:val="22"/>
          <w:szCs w:val="22"/>
        </w:rPr>
        <w:t>?</w:t>
      </w:r>
      <w:r w:rsidR="0072016E">
        <w:rPr>
          <w:rFonts w:ascii="Times New Roman" w:hAnsi="Times New Roman"/>
          <w:sz w:val="22"/>
          <w:szCs w:val="22"/>
        </w:rPr>
        <w:t xml:space="preserve"> </w:t>
      </w:r>
      <w:r w:rsidR="00FA1586">
        <w:rPr>
          <w:rFonts w:ascii="Times New Roman" w:hAnsi="Times New Roman"/>
          <w:sz w:val="22"/>
          <w:szCs w:val="22"/>
        </w:rPr>
        <w:t xml:space="preserve"> </w:t>
      </w:r>
      <w:r w:rsidR="00755A2C">
        <w:rPr>
          <w:rFonts w:ascii="Times New Roman" w:hAnsi="Times New Roman"/>
          <w:sz w:val="22"/>
          <w:szCs w:val="22"/>
        </w:rPr>
        <w:t>If so, how would these measures affect the ability of wireless providers to utilize the adjacent spectrum?  We also</w:t>
      </w:r>
      <w:r w:rsidR="00487F3F" w:rsidRPr="00487F3F">
        <w:rPr>
          <w:rFonts w:ascii="Times New Roman" w:hAnsi="Times New Roman"/>
          <w:sz w:val="22"/>
          <w:szCs w:val="22"/>
        </w:rPr>
        <w:t xml:space="preserve"> seek comment on </w:t>
      </w:r>
      <w:r w:rsidR="00755A2C">
        <w:rPr>
          <w:rFonts w:ascii="Times New Roman" w:hAnsi="Times New Roman"/>
          <w:sz w:val="22"/>
          <w:szCs w:val="22"/>
        </w:rPr>
        <w:t>a proposal to apply</w:t>
      </w:r>
      <w:r w:rsidR="00487F3F" w:rsidRPr="00487F3F">
        <w:rPr>
          <w:rFonts w:ascii="Times New Roman" w:hAnsi="Times New Roman"/>
          <w:sz w:val="22"/>
          <w:szCs w:val="22"/>
        </w:rPr>
        <w:t xml:space="preserve"> the spectral mask </w:t>
      </w:r>
      <w:r w:rsidR="00755A2C">
        <w:rPr>
          <w:rFonts w:ascii="Times New Roman" w:hAnsi="Times New Roman"/>
          <w:sz w:val="22"/>
          <w:szCs w:val="22"/>
        </w:rPr>
        <w:t xml:space="preserve">for TV white space devices to </w:t>
      </w:r>
      <w:r w:rsidR="00487F3F" w:rsidRPr="00487F3F">
        <w:rPr>
          <w:rFonts w:ascii="Times New Roman" w:hAnsi="Times New Roman"/>
          <w:sz w:val="22"/>
          <w:szCs w:val="22"/>
        </w:rPr>
        <w:t>prevent interference and protect existing channel 37 WMTS operations from interference if mobile uplink operations (rather than wireless downlink operations) are on both sides of channel 37.</w:t>
      </w:r>
      <w:r w:rsidR="00755A2C">
        <w:rPr>
          <w:rStyle w:val="FootnoteReference"/>
          <w:szCs w:val="22"/>
        </w:rPr>
        <w:footnoteReference w:id="24"/>
      </w:r>
      <w:r w:rsidR="00487F3F">
        <w:t xml:space="preserve">  </w:t>
      </w:r>
      <w:r w:rsidR="00335FFE">
        <w:rPr>
          <w:rFonts w:ascii="Times New Roman" w:hAnsi="Times New Roman"/>
          <w:sz w:val="22"/>
          <w:szCs w:val="22"/>
        </w:rPr>
        <w:t xml:space="preserve">Further, </w:t>
      </w:r>
      <w:r w:rsidR="00AD5832">
        <w:rPr>
          <w:rFonts w:ascii="Times New Roman" w:hAnsi="Times New Roman"/>
          <w:sz w:val="22"/>
          <w:szCs w:val="22"/>
        </w:rPr>
        <w:t>in the event that the Commission can repurpose more than 84 megahertz of spectrum, yielding an uplink band that would extend below channel 37,</w:t>
      </w:r>
      <w:r w:rsidR="00487F3F" w:rsidRPr="00487F3F">
        <w:t xml:space="preserve"> </w:t>
      </w:r>
      <w:r w:rsidR="00487F3F" w:rsidRPr="00487F3F">
        <w:rPr>
          <w:rFonts w:ascii="Times New Roman" w:hAnsi="Times New Roman"/>
          <w:sz w:val="22"/>
          <w:szCs w:val="22"/>
        </w:rPr>
        <w:t xml:space="preserve">wireless uplink operations </w:t>
      </w:r>
      <w:r w:rsidR="00487F3F">
        <w:rPr>
          <w:rFonts w:ascii="Times New Roman" w:hAnsi="Times New Roman"/>
          <w:sz w:val="22"/>
          <w:szCs w:val="22"/>
        </w:rPr>
        <w:t xml:space="preserve">will be </w:t>
      </w:r>
      <w:r w:rsidR="00487F3F" w:rsidRPr="00487F3F">
        <w:rPr>
          <w:rFonts w:ascii="Times New Roman" w:hAnsi="Times New Roman"/>
          <w:sz w:val="22"/>
          <w:szCs w:val="22"/>
        </w:rPr>
        <w:t xml:space="preserve">both above and below </w:t>
      </w:r>
      <w:r w:rsidR="00487F3F">
        <w:rPr>
          <w:rFonts w:ascii="Times New Roman" w:hAnsi="Times New Roman"/>
          <w:sz w:val="22"/>
          <w:szCs w:val="22"/>
        </w:rPr>
        <w:t>c</w:t>
      </w:r>
      <w:r w:rsidR="00487F3F" w:rsidRPr="00487F3F">
        <w:rPr>
          <w:rFonts w:ascii="Times New Roman" w:hAnsi="Times New Roman"/>
          <w:sz w:val="22"/>
          <w:szCs w:val="22"/>
        </w:rPr>
        <w:t xml:space="preserve">hannel 37.  If this occurs, the duplex spacing for paired blocks with uplink </w:t>
      </w:r>
      <w:r w:rsidR="00D46F89">
        <w:rPr>
          <w:rFonts w:ascii="Times New Roman" w:hAnsi="Times New Roman"/>
          <w:sz w:val="22"/>
          <w:szCs w:val="22"/>
        </w:rPr>
        <w:t xml:space="preserve">blocks </w:t>
      </w:r>
      <w:r w:rsidR="00487F3F" w:rsidRPr="00487F3F">
        <w:rPr>
          <w:rFonts w:ascii="Times New Roman" w:hAnsi="Times New Roman"/>
          <w:sz w:val="22"/>
          <w:szCs w:val="22"/>
        </w:rPr>
        <w:t xml:space="preserve">below </w:t>
      </w:r>
      <w:r w:rsidR="00487F3F">
        <w:rPr>
          <w:rFonts w:ascii="Times New Roman" w:hAnsi="Times New Roman"/>
          <w:sz w:val="22"/>
          <w:szCs w:val="22"/>
        </w:rPr>
        <w:t>c</w:t>
      </w:r>
      <w:r w:rsidR="00487F3F" w:rsidRPr="00487F3F">
        <w:rPr>
          <w:rFonts w:ascii="Times New Roman" w:hAnsi="Times New Roman"/>
          <w:sz w:val="22"/>
          <w:szCs w:val="22"/>
        </w:rPr>
        <w:t xml:space="preserve">hannel 37 </w:t>
      </w:r>
      <w:r w:rsidR="00DE7878">
        <w:rPr>
          <w:rFonts w:ascii="Times New Roman" w:hAnsi="Times New Roman"/>
          <w:sz w:val="22"/>
          <w:szCs w:val="22"/>
        </w:rPr>
        <w:t xml:space="preserve">would </w:t>
      </w:r>
      <w:r w:rsidR="00487F3F" w:rsidRPr="00487F3F">
        <w:rPr>
          <w:rFonts w:ascii="Times New Roman" w:hAnsi="Times New Roman"/>
          <w:sz w:val="22"/>
          <w:szCs w:val="22"/>
        </w:rPr>
        <w:t xml:space="preserve">be greater than for paired blocks with uplink </w:t>
      </w:r>
      <w:r w:rsidR="00D46F89">
        <w:rPr>
          <w:rFonts w:ascii="Times New Roman" w:hAnsi="Times New Roman"/>
          <w:sz w:val="22"/>
          <w:szCs w:val="22"/>
        </w:rPr>
        <w:t xml:space="preserve">blocks </w:t>
      </w:r>
      <w:r w:rsidR="00487F3F" w:rsidRPr="00487F3F">
        <w:rPr>
          <w:rFonts w:ascii="Times New Roman" w:hAnsi="Times New Roman"/>
          <w:sz w:val="22"/>
          <w:szCs w:val="22"/>
        </w:rPr>
        <w:t xml:space="preserve">above </w:t>
      </w:r>
      <w:r w:rsidR="00487F3F">
        <w:rPr>
          <w:rFonts w:ascii="Times New Roman" w:hAnsi="Times New Roman"/>
          <w:sz w:val="22"/>
          <w:szCs w:val="22"/>
        </w:rPr>
        <w:t>c</w:t>
      </w:r>
      <w:r w:rsidR="00487F3F" w:rsidRPr="00487F3F">
        <w:rPr>
          <w:rFonts w:ascii="Times New Roman" w:hAnsi="Times New Roman"/>
          <w:sz w:val="22"/>
          <w:szCs w:val="22"/>
        </w:rPr>
        <w:t>hannel 37</w:t>
      </w:r>
      <w:r w:rsidR="00487F3F">
        <w:rPr>
          <w:rFonts w:ascii="Times New Roman" w:hAnsi="Times New Roman"/>
          <w:sz w:val="22"/>
          <w:szCs w:val="22"/>
        </w:rPr>
        <w:t xml:space="preserve"> because wireless operations </w:t>
      </w:r>
      <w:r w:rsidR="00D46F89">
        <w:rPr>
          <w:rFonts w:ascii="Times New Roman" w:hAnsi="Times New Roman"/>
          <w:sz w:val="22"/>
          <w:szCs w:val="22"/>
        </w:rPr>
        <w:t>cannot operate on</w:t>
      </w:r>
      <w:r w:rsidR="00487F3F">
        <w:rPr>
          <w:rFonts w:ascii="Times New Roman" w:hAnsi="Times New Roman"/>
          <w:sz w:val="22"/>
          <w:szCs w:val="22"/>
        </w:rPr>
        <w:t xml:space="preserve"> channel 37</w:t>
      </w:r>
      <w:r w:rsidR="00487F3F" w:rsidRPr="00487F3F">
        <w:rPr>
          <w:rFonts w:ascii="Times New Roman" w:hAnsi="Times New Roman"/>
          <w:sz w:val="22"/>
          <w:szCs w:val="22"/>
        </w:rPr>
        <w:t>.</w:t>
      </w:r>
      <w:r w:rsidR="00AD5832">
        <w:rPr>
          <w:rFonts w:ascii="Times New Roman" w:hAnsi="Times New Roman"/>
          <w:sz w:val="22"/>
          <w:szCs w:val="22"/>
        </w:rPr>
        <w:t xml:space="preserve"> </w:t>
      </w:r>
      <w:r w:rsidR="00D46F89">
        <w:rPr>
          <w:rFonts w:ascii="Times New Roman" w:hAnsi="Times New Roman"/>
          <w:sz w:val="22"/>
          <w:szCs w:val="22"/>
        </w:rPr>
        <w:t xml:space="preserve"> </w:t>
      </w:r>
      <w:r w:rsidR="00487F3F">
        <w:rPr>
          <w:rFonts w:ascii="Times New Roman" w:hAnsi="Times New Roman"/>
          <w:sz w:val="22"/>
          <w:szCs w:val="22"/>
        </w:rPr>
        <w:t>W</w:t>
      </w:r>
      <w:r w:rsidR="00AD5832">
        <w:rPr>
          <w:rFonts w:ascii="Times New Roman" w:hAnsi="Times New Roman"/>
          <w:sz w:val="22"/>
          <w:szCs w:val="22"/>
        </w:rPr>
        <w:t xml:space="preserve">e seek comment on </w:t>
      </w:r>
      <w:r w:rsidR="00335FFE">
        <w:rPr>
          <w:rFonts w:ascii="Times New Roman" w:hAnsi="Times New Roman"/>
          <w:sz w:val="22"/>
          <w:szCs w:val="22"/>
        </w:rPr>
        <w:t xml:space="preserve">the effects of </w:t>
      </w:r>
      <w:r w:rsidR="00755A2C">
        <w:rPr>
          <w:rFonts w:ascii="Times New Roman" w:hAnsi="Times New Roman"/>
          <w:sz w:val="22"/>
          <w:szCs w:val="22"/>
        </w:rPr>
        <w:t xml:space="preserve">this </w:t>
      </w:r>
      <w:r w:rsidR="0089750B">
        <w:rPr>
          <w:rFonts w:ascii="Times New Roman" w:hAnsi="Times New Roman"/>
          <w:sz w:val="22"/>
          <w:szCs w:val="22"/>
        </w:rPr>
        <w:t>variable duplex spacing</w:t>
      </w:r>
      <w:r w:rsidR="00D46F89">
        <w:rPr>
          <w:rFonts w:ascii="Times New Roman" w:hAnsi="Times New Roman"/>
          <w:sz w:val="22"/>
          <w:szCs w:val="22"/>
        </w:rPr>
        <w:t xml:space="preserve">, and how this affects network </w:t>
      </w:r>
      <w:r w:rsidR="00755A2C">
        <w:rPr>
          <w:rFonts w:ascii="Times New Roman" w:hAnsi="Times New Roman"/>
          <w:sz w:val="22"/>
          <w:szCs w:val="22"/>
        </w:rPr>
        <w:t>and/</w:t>
      </w:r>
      <w:r w:rsidR="00D46F89">
        <w:rPr>
          <w:rFonts w:ascii="Times New Roman" w:hAnsi="Times New Roman"/>
          <w:sz w:val="22"/>
          <w:szCs w:val="22"/>
        </w:rPr>
        <w:t>or device design</w:t>
      </w:r>
      <w:r w:rsidR="00AD5832">
        <w:rPr>
          <w:rFonts w:ascii="Times New Roman" w:hAnsi="Times New Roman"/>
          <w:sz w:val="22"/>
          <w:szCs w:val="22"/>
        </w:rPr>
        <w:t>.</w:t>
      </w:r>
      <w:r w:rsidR="00B73159">
        <w:rPr>
          <w:rFonts w:ascii="Times New Roman" w:hAnsi="Times New Roman"/>
          <w:sz w:val="22"/>
          <w:szCs w:val="22"/>
        </w:rPr>
        <w:t xml:space="preserve"> </w:t>
      </w:r>
      <w:r w:rsidR="00D46F89">
        <w:rPr>
          <w:rFonts w:ascii="Times New Roman" w:hAnsi="Times New Roman"/>
          <w:sz w:val="22"/>
          <w:szCs w:val="22"/>
        </w:rPr>
        <w:t xml:space="preserve"> </w:t>
      </w:r>
      <w:r w:rsidR="00B73159">
        <w:rPr>
          <w:rFonts w:ascii="Times New Roman" w:hAnsi="Times New Roman"/>
          <w:sz w:val="22"/>
          <w:szCs w:val="22"/>
        </w:rPr>
        <w:t xml:space="preserve">We seek comment on other issues </w:t>
      </w:r>
      <w:r w:rsidR="002F1CE2">
        <w:rPr>
          <w:rFonts w:ascii="Times New Roman" w:hAnsi="Times New Roman"/>
          <w:sz w:val="22"/>
          <w:szCs w:val="22"/>
        </w:rPr>
        <w:t>relating to</w:t>
      </w:r>
      <w:r w:rsidR="00B73159">
        <w:rPr>
          <w:rFonts w:ascii="Times New Roman" w:hAnsi="Times New Roman"/>
          <w:sz w:val="22"/>
          <w:szCs w:val="22"/>
        </w:rPr>
        <w:t xml:space="preserve"> </w:t>
      </w:r>
      <w:r w:rsidR="00AD5832">
        <w:rPr>
          <w:rFonts w:ascii="Times New Roman" w:hAnsi="Times New Roman"/>
          <w:sz w:val="22"/>
          <w:szCs w:val="22"/>
        </w:rPr>
        <w:t xml:space="preserve">existing channel 37 operations under </w:t>
      </w:r>
      <w:r w:rsidR="00B14B02">
        <w:rPr>
          <w:rFonts w:ascii="Times New Roman" w:hAnsi="Times New Roman"/>
          <w:sz w:val="22"/>
          <w:szCs w:val="22"/>
        </w:rPr>
        <w:t xml:space="preserve">the Down from 51 Reversed </w:t>
      </w:r>
      <w:r w:rsidR="00B73159">
        <w:rPr>
          <w:rFonts w:ascii="Times New Roman" w:hAnsi="Times New Roman"/>
          <w:sz w:val="22"/>
          <w:szCs w:val="22"/>
        </w:rPr>
        <w:t>band plan approach.</w:t>
      </w:r>
      <w:r w:rsidR="0089750B">
        <w:rPr>
          <w:rFonts w:ascii="Times New Roman" w:hAnsi="Times New Roman"/>
          <w:sz w:val="22"/>
          <w:szCs w:val="22"/>
        </w:rPr>
        <w:t xml:space="preserve"> </w:t>
      </w:r>
    </w:p>
    <w:p w14:paraId="4B052AFA" w14:textId="77777777" w:rsidR="00F66DFC" w:rsidRDefault="00F66DFC" w:rsidP="00DD44D7">
      <w:pPr>
        <w:ind w:firstLine="720"/>
        <w:rPr>
          <w:rFonts w:ascii="Times New Roman" w:hAnsi="Times New Roman"/>
          <w:sz w:val="22"/>
          <w:szCs w:val="22"/>
        </w:rPr>
      </w:pPr>
    </w:p>
    <w:p w14:paraId="204E9835" w14:textId="77777777" w:rsidR="00DC6C3F" w:rsidRPr="00C56313" w:rsidRDefault="00DC6C3F" w:rsidP="00DD44D7">
      <w:pPr>
        <w:rPr>
          <w:rFonts w:ascii="Times New Roman" w:hAnsi="Times New Roman"/>
          <w:sz w:val="22"/>
          <w:szCs w:val="22"/>
        </w:rPr>
      </w:pPr>
    </w:p>
    <w:p w14:paraId="0231E580" w14:textId="77777777" w:rsidR="00E046BA" w:rsidRPr="00DD44D7" w:rsidRDefault="00E046BA" w:rsidP="00DD44D7">
      <w:pPr>
        <w:rPr>
          <w:rFonts w:ascii="Times New Roman" w:hAnsi="Times New Roman"/>
          <w:b/>
          <w:sz w:val="22"/>
          <w:szCs w:val="22"/>
          <w:u w:val="single"/>
        </w:rPr>
      </w:pPr>
      <w:r w:rsidRPr="00DD44D7">
        <w:rPr>
          <w:rFonts w:ascii="Times New Roman" w:hAnsi="Times New Roman"/>
          <w:b/>
          <w:sz w:val="22"/>
          <w:szCs w:val="22"/>
          <w:u w:val="single"/>
        </w:rPr>
        <w:t>Down from 51 with TV in the Duplex Gap in Constrained Markets</w:t>
      </w:r>
    </w:p>
    <w:p w14:paraId="4F3E1479" w14:textId="77777777" w:rsidR="00F66DFC" w:rsidRDefault="00F66DFC" w:rsidP="00C56313">
      <w:pPr>
        <w:ind w:firstLine="720"/>
        <w:rPr>
          <w:rFonts w:ascii="Times New Roman" w:hAnsi="Times New Roman"/>
          <w:sz w:val="22"/>
          <w:szCs w:val="22"/>
        </w:rPr>
      </w:pPr>
    </w:p>
    <w:p w14:paraId="1BA44FE9" w14:textId="0C6AC335" w:rsidR="00A16598" w:rsidRDefault="00A10B24" w:rsidP="00C56313">
      <w:pPr>
        <w:ind w:firstLine="720"/>
        <w:rPr>
          <w:rFonts w:ascii="Times New Roman" w:hAnsi="Times New Roman"/>
          <w:sz w:val="22"/>
          <w:szCs w:val="22"/>
        </w:rPr>
      </w:pPr>
      <w:r>
        <w:rPr>
          <w:rFonts w:ascii="Times New Roman" w:hAnsi="Times New Roman"/>
          <w:sz w:val="22"/>
          <w:szCs w:val="22"/>
        </w:rPr>
        <w:t>W</w:t>
      </w:r>
      <w:r w:rsidR="00D54BC6">
        <w:rPr>
          <w:rFonts w:ascii="Times New Roman" w:hAnsi="Times New Roman"/>
          <w:sz w:val="22"/>
          <w:szCs w:val="22"/>
        </w:rPr>
        <w:t xml:space="preserve">e also seek comment on </w:t>
      </w:r>
      <w:r w:rsidR="00F66DFC">
        <w:rPr>
          <w:rFonts w:ascii="Times New Roman" w:hAnsi="Times New Roman"/>
          <w:sz w:val="22"/>
          <w:szCs w:val="22"/>
        </w:rPr>
        <w:t>how</w:t>
      </w:r>
      <w:r w:rsidR="00D54BC6">
        <w:rPr>
          <w:rFonts w:ascii="Times New Roman" w:hAnsi="Times New Roman"/>
          <w:sz w:val="22"/>
          <w:szCs w:val="22"/>
        </w:rPr>
        <w:t xml:space="preserve"> </w:t>
      </w:r>
      <w:r w:rsidR="00E046BA">
        <w:rPr>
          <w:rFonts w:ascii="Times New Roman" w:hAnsi="Times New Roman"/>
          <w:sz w:val="22"/>
          <w:szCs w:val="22"/>
        </w:rPr>
        <w:t xml:space="preserve">the Commission </w:t>
      </w:r>
      <w:r w:rsidR="00D54BC6">
        <w:rPr>
          <w:rFonts w:ascii="Times New Roman" w:hAnsi="Times New Roman"/>
          <w:sz w:val="22"/>
          <w:szCs w:val="22"/>
        </w:rPr>
        <w:t xml:space="preserve">should </w:t>
      </w:r>
      <w:r w:rsidR="00DE7878">
        <w:rPr>
          <w:rFonts w:ascii="Times New Roman" w:hAnsi="Times New Roman"/>
          <w:sz w:val="22"/>
          <w:szCs w:val="22"/>
        </w:rPr>
        <w:t xml:space="preserve">address </w:t>
      </w:r>
      <w:r w:rsidR="00200875">
        <w:rPr>
          <w:rFonts w:ascii="Times New Roman" w:hAnsi="Times New Roman"/>
          <w:sz w:val="22"/>
          <w:szCs w:val="22"/>
        </w:rPr>
        <w:t xml:space="preserve">constrained markets </w:t>
      </w:r>
      <w:r w:rsidR="00DC6C3F">
        <w:rPr>
          <w:rFonts w:ascii="Times New Roman" w:hAnsi="Times New Roman"/>
          <w:sz w:val="22"/>
          <w:szCs w:val="22"/>
        </w:rPr>
        <w:t>where less spectrum is available</w:t>
      </w:r>
      <w:r w:rsidR="00200875" w:rsidRPr="00200875">
        <w:rPr>
          <w:rFonts w:ascii="Times New Roman" w:hAnsi="Times New Roman"/>
          <w:sz w:val="22"/>
          <w:szCs w:val="22"/>
        </w:rPr>
        <w:t xml:space="preserve"> </w:t>
      </w:r>
      <w:r w:rsidR="00200875">
        <w:rPr>
          <w:rFonts w:ascii="Times New Roman" w:hAnsi="Times New Roman"/>
          <w:sz w:val="22"/>
          <w:szCs w:val="22"/>
        </w:rPr>
        <w:t>if it adopt</w:t>
      </w:r>
      <w:r w:rsidR="007F363D">
        <w:rPr>
          <w:rFonts w:ascii="Times New Roman" w:hAnsi="Times New Roman"/>
          <w:sz w:val="22"/>
          <w:szCs w:val="22"/>
        </w:rPr>
        <w:t>s</w:t>
      </w:r>
      <w:r>
        <w:rPr>
          <w:rFonts w:ascii="Times New Roman" w:hAnsi="Times New Roman"/>
          <w:sz w:val="22"/>
          <w:szCs w:val="22"/>
        </w:rPr>
        <w:t xml:space="preserve"> a version of</w:t>
      </w:r>
      <w:r w:rsidR="00200875">
        <w:rPr>
          <w:rFonts w:ascii="Times New Roman" w:hAnsi="Times New Roman"/>
          <w:sz w:val="22"/>
          <w:szCs w:val="22"/>
        </w:rPr>
        <w:t xml:space="preserve"> the Down from 51 band plan</w:t>
      </w:r>
      <w:r>
        <w:rPr>
          <w:rFonts w:ascii="Times New Roman" w:hAnsi="Times New Roman"/>
          <w:sz w:val="22"/>
          <w:szCs w:val="22"/>
        </w:rPr>
        <w:t xml:space="preserve"> that has been more generally discussed in the record and the workshop</w:t>
      </w:r>
      <w:r w:rsidR="00590D69">
        <w:rPr>
          <w:rFonts w:ascii="Times New Roman" w:hAnsi="Times New Roman"/>
          <w:sz w:val="22"/>
          <w:szCs w:val="22"/>
        </w:rPr>
        <w:t xml:space="preserve">, with </w:t>
      </w:r>
      <w:r w:rsidR="00BA1C7D">
        <w:rPr>
          <w:rFonts w:ascii="Times New Roman" w:hAnsi="Times New Roman"/>
          <w:sz w:val="22"/>
          <w:szCs w:val="22"/>
        </w:rPr>
        <w:t xml:space="preserve">the </w:t>
      </w:r>
      <w:r w:rsidR="00590D69">
        <w:rPr>
          <w:rFonts w:ascii="Times New Roman" w:hAnsi="Times New Roman"/>
          <w:sz w:val="22"/>
          <w:szCs w:val="22"/>
        </w:rPr>
        <w:t xml:space="preserve">600 MHz uplink </w:t>
      </w:r>
      <w:r w:rsidR="00BA1C7D">
        <w:rPr>
          <w:rFonts w:ascii="Times New Roman" w:hAnsi="Times New Roman"/>
          <w:sz w:val="22"/>
          <w:szCs w:val="22"/>
        </w:rPr>
        <w:t xml:space="preserve">band </w:t>
      </w:r>
      <w:r w:rsidR="00590D69">
        <w:rPr>
          <w:rFonts w:ascii="Times New Roman" w:hAnsi="Times New Roman"/>
          <w:sz w:val="22"/>
          <w:szCs w:val="22"/>
        </w:rPr>
        <w:t xml:space="preserve">beginning at </w:t>
      </w:r>
      <w:r w:rsidR="00487F3F">
        <w:rPr>
          <w:rFonts w:ascii="Times New Roman" w:hAnsi="Times New Roman"/>
          <w:sz w:val="22"/>
          <w:szCs w:val="22"/>
        </w:rPr>
        <w:t>c</w:t>
      </w:r>
      <w:r w:rsidR="00590D69">
        <w:rPr>
          <w:rFonts w:ascii="Times New Roman" w:hAnsi="Times New Roman"/>
          <w:sz w:val="22"/>
          <w:szCs w:val="22"/>
        </w:rPr>
        <w:t>hannel 51, adjacent to the 700 MHz band uplink</w:t>
      </w:r>
      <w:r w:rsidR="00BA1C7D">
        <w:rPr>
          <w:rFonts w:ascii="Times New Roman" w:hAnsi="Times New Roman"/>
          <w:sz w:val="22"/>
          <w:szCs w:val="22"/>
        </w:rPr>
        <w:t xml:space="preserve"> band</w:t>
      </w:r>
      <w:r w:rsidR="00F66DFC">
        <w:rPr>
          <w:rFonts w:ascii="Times New Roman" w:hAnsi="Times New Roman"/>
          <w:sz w:val="22"/>
          <w:szCs w:val="22"/>
        </w:rPr>
        <w:t>.</w:t>
      </w:r>
      <w:r w:rsidR="00DC6C3F">
        <w:rPr>
          <w:rFonts w:ascii="Times New Roman" w:hAnsi="Times New Roman"/>
          <w:sz w:val="22"/>
          <w:szCs w:val="22"/>
        </w:rPr>
        <w:t xml:space="preserve">  </w:t>
      </w:r>
      <w:r w:rsidR="00F66DFC">
        <w:rPr>
          <w:rFonts w:ascii="Times New Roman" w:hAnsi="Times New Roman"/>
          <w:sz w:val="22"/>
          <w:szCs w:val="22"/>
        </w:rPr>
        <w:t>Specifically, should the Commission place</w:t>
      </w:r>
      <w:r w:rsidR="00E046BA">
        <w:rPr>
          <w:rFonts w:ascii="Times New Roman" w:hAnsi="Times New Roman"/>
          <w:sz w:val="22"/>
          <w:szCs w:val="22"/>
        </w:rPr>
        <w:t xml:space="preserve"> television stations in the duplex gap in more constrained markets</w:t>
      </w:r>
      <w:r w:rsidR="00F66DFC">
        <w:rPr>
          <w:rFonts w:ascii="Times New Roman" w:hAnsi="Times New Roman"/>
          <w:sz w:val="22"/>
          <w:szCs w:val="22"/>
        </w:rPr>
        <w:t>?</w:t>
      </w:r>
      <w:r w:rsidR="003C677F">
        <w:rPr>
          <w:rStyle w:val="FootnoteReference"/>
          <w:szCs w:val="22"/>
        </w:rPr>
        <w:footnoteReference w:id="25"/>
      </w:r>
      <w:r w:rsidR="00E046BA">
        <w:rPr>
          <w:rFonts w:ascii="Times New Roman" w:hAnsi="Times New Roman"/>
          <w:sz w:val="22"/>
          <w:szCs w:val="22"/>
        </w:rPr>
        <w:t xml:space="preserve">  </w:t>
      </w:r>
      <w:r w:rsidR="003761F2">
        <w:rPr>
          <w:rFonts w:ascii="Times New Roman" w:hAnsi="Times New Roman"/>
          <w:sz w:val="22"/>
          <w:szCs w:val="22"/>
        </w:rPr>
        <w:t xml:space="preserve">Although we recognize that some commenters have concerns about allowing high power services </w:t>
      </w:r>
      <w:r w:rsidR="00DE7878">
        <w:rPr>
          <w:rFonts w:ascii="Times New Roman" w:hAnsi="Times New Roman"/>
          <w:sz w:val="22"/>
          <w:szCs w:val="22"/>
        </w:rPr>
        <w:t xml:space="preserve">to operate </w:t>
      </w:r>
      <w:r w:rsidR="003761F2">
        <w:rPr>
          <w:rFonts w:ascii="Times New Roman" w:hAnsi="Times New Roman"/>
          <w:sz w:val="22"/>
          <w:szCs w:val="22"/>
        </w:rPr>
        <w:t>in the duplex gap,</w:t>
      </w:r>
      <w:r w:rsidR="003761F2">
        <w:rPr>
          <w:rStyle w:val="FootnoteReference"/>
          <w:szCs w:val="22"/>
        </w:rPr>
        <w:footnoteReference w:id="26"/>
      </w:r>
      <w:r w:rsidR="003761F2">
        <w:rPr>
          <w:rFonts w:ascii="Times New Roman" w:hAnsi="Times New Roman"/>
          <w:sz w:val="22"/>
          <w:szCs w:val="22"/>
        </w:rPr>
        <w:t xml:space="preserve"> is this less problematic if it</w:t>
      </w:r>
      <w:r w:rsidR="00590D69">
        <w:rPr>
          <w:rFonts w:ascii="Times New Roman" w:hAnsi="Times New Roman"/>
          <w:sz w:val="22"/>
          <w:szCs w:val="22"/>
        </w:rPr>
        <w:t xml:space="preserve"> occurs </w:t>
      </w:r>
      <w:r w:rsidR="00DE7878">
        <w:rPr>
          <w:rFonts w:ascii="Times New Roman" w:hAnsi="Times New Roman"/>
          <w:sz w:val="22"/>
          <w:szCs w:val="22"/>
        </w:rPr>
        <w:t xml:space="preserve">only </w:t>
      </w:r>
      <w:r w:rsidR="003761F2">
        <w:rPr>
          <w:rFonts w:ascii="Times New Roman" w:hAnsi="Times New Roman"/>
          <w:sz w:val="22"/>
          <w:szCs w:val="22"/>
        </w:rPr>
        <w:t>in certain markets</w:t>
      </w:r>
      <w:r w:rsidR="00BA1C7D">
        <w:rPr>
          <w:rFonts w:ascii="Times New Roman" w:hAnsi="Times New Roman"/>
          <w:sz w:val="22"/>
          <w:szCs w:val="22"/>
        </w:rPr>
        <w:t>?  A</w:t>
      </w:r>
      <w:r w:rsidR="00590D69">
        <w:rPr>
          <w:rFonts w:ascii="Times New Roman" w:hAnsi="Times New Roman"/>
          <w:sz w:val="22"/>
          <w:szCs w:val="22"/>
        </w:rPr>
        <w:t xml:space="preserve">s compared </w:t>
      </w:r>
      <w:r w:rsidR="00DE7878">
        <w:rPr>
          <w:rFonts w:ascii="Times New Roman" w:hAnsi="Times New Roman"/>
          <w:sz w:val="22"/>
          <w:szCs w:val="22"/>
        </w:rPr>
        <w:t xml:space="preserve">to </w:t>
      </w:r>
      <w:r w:rsidR="00590D69">
        <w:rPr>
          <w:rFonts w:ascii="Times New Roman" w:hAnsi="Times New Roman"/>
          <w:sz w:val="22"/>
          <w:szCs w:val="22"/>
        </w:rPr>
        <w:t xml:space="preserve">a Down from 51 Reversed band plan, which </w:t>
      </w:r>
      <w:r w:rsidR="003761F2">
        <w:rPr>
          <w:rFonts w:ascii="Times New Roman" w:hAnsi="Times New Roman"/>
          <w:sz w:val="22"/>
          <w:szCs w:val="22"/>
        </w:rPr>
        <w:t xml:space="preserve">alternative </w:t>
      </w:r>
      <w:r w:rsidR="00DE7878">
        <w:rPr>
          <w:rFonts w:ascii="Times New Roman" w:hAnsi="Times New Roman"/>
          <w:sz w:val="22"/>
          <w:szCs w:val="22"/>
        </w:rPr>
        <w:t xml:space="preserve">would </w:t>
      </w:r>
      <w:r w:rsidR="003761F2">
        <w:rPr>
          <w:rFonts w:ascii="Times New Roman" w:hAnsi="Times New Roman"/>
          <w:sz w:val="22"/>
          <w:szCs w:val="22"/>
        </w:rPr>
        <w:t>allow the Commission to offer as many paired spectrum blocks as</w:t>
      </w:r>
      <w:r w:rsidR="00590D69">
        <w:rPr>
          <w:rFonts w:ascii="Times New Roman" w:hAnsi="Times New Roman"/>
          <w:sz w:val="22"/>
          <w:szCs w:val="22"/>
        </w:rPr>
        <w:t xml:space="preserve"> possible</w:t>
      </w:r>
      <w:r w:rsidR="003761F2">
        <w:rPr>
          <w:rFonts w:ascii="Times New Roman" w:hAnsi="Times New Roman"/>
          <w:sz w:val="22"/>
          <w:szCs w:val="22"/>
        </w:rPr>
        <w:t xml:space="preserve">?  </w:t>
      </w:r>
      <w:r w:rsidR="00F66DFC">
        <w:rPr>
          <w:rFonts w:ascii="Times New Roman" w:hAnsi="Times New Roman"/>
          <w:sz w:val="22"/>
          <w:szCs w:val="22"/>
        </w:rPr>
        <w:t xml:space="preserve">Which band plan </w:t>
      </w:r>
      <w:r w:rsidR="00E046BA">
        <w:rPr>
          <w:rFonts w:ascii="Times New Roman" w:hAnsi="Times New Roman"/>
          <w:sz w:val="22"/>
          <w:szCs w:val="22"/>
        </w:rPr>
        <w:t xml:space="preserve">approach </w:t>
      </w:r>
      <w:r w:rsidR="00F66DFC">
        <w:rPr>
          <w:rFonts w:ascii="Times New Roman" w:hAnsi="Times New Roman"/>
          <w:sz w:val="22"/>
          <w:szCs w:val="22"/>
        </w:rPr>
        <w:t xml:space="preserve">is preferable </w:t>
      </w:r>
      <w:r w:rsidR="003761F2">
        <w:rPr>
          <w:rFonts w:ascii="Times New Roman" w:hAnsi="Times New Roman"/>
          <w:sz w:val="22"/>
          <w:szCs w:val="22"/>
        </w:rPr>
        <w:t xml:space="preserve">if the Commission </w:t>
      </w:r>
      <w:r w:rsidR="00D54D67">
        <w:rPr>
          <w:rFonts w:ascii="Times New Roman" w:hAnsi="Times New Roman"/>
          <w:sz w:val="22"/>
          <w:szCs w:val="22"/>
        </w:rPr>
        <w:t xml:space="preserve">decides to </w:t>
      </w:r>
      <w:r w:rsidR="00F66DFC">
        <w:rPr>
          <w:rFonts w:ascii="Times New Roman" w:hAnsi="Times New Roman"/>
          <w:sz w:val="22"/>
          <w:szCs w:val="22"/>
        </w:rPr>
        <w:t>accommodate market variation</w:t>
      </w:r>
      <w:r w:rsidR="00E046BA">
        <w:rPr>
          <w:rFonts w:ascii="Times New Roman" w:hAnsi="Times New Roman"/>
          <w:sz w:val="22"/>
          <w:szCs w:val="22"/>
        </w:rPr>
        <w:t>?</w:t>
      </w:r>
      <w:r w:rsidR="00A16598">
        <w:rPr>
          <w:rFonts w:ascii="Times New Roman" w:hAnsi="Times New Roman"/>
          <w:sz w:val="22"/>
          <w:szCs w:val="22"/>
        </w:rPr>
        <w:t xml:space="preserve">  </w:t>
      </w:r>
    </w:p>
    <w:p w14:paraId="099A61FC" w14:textId="77777777" w:rsidR="00086AB6" w:rsidRDefault="00086AB6" w:rsidP="00E046BA">
      <w:pPr>
        <w:ind w:firstLine="720"/>
        <w:rPr>
          <w:rFonts w:ascii="Times New Roman" w:hAnsi="Times New Roman"/>
          <w:sz w:val="22"/>
          <w:szCs w:val="22"/>
        </w:rPr>
      </w:pPr>
    </w:p>
    <w:p w14:paraId="02ADA6D7" w14:textId="77777777" w:rsidR="00C9759D" w:rsidRDefault="00C9759D" w:rsidP="00C9759D">
      <w:pPr>
        <w:rPr>
          <w:rFonts w:ascii="Times New Roman" w:hAnsi="Times New Roman"/>
          <w:b/>
          <w:sz w:val="22"/>
          <w:szCs w:val="22"/>
          <w:u w:val="single"/>
        </w:rPr>
      </w:pPr>
    </w:p>
    <w:p w14:paraId="5AE6329D" w14:textId="77777777" w:rsidR="00086AB6" w:rsidRPr="00E046BA" w:rsidRDefault="00086AB6" w:rsidP="00C9759D">
      <w:pPr>
        <w:rPr>
          <w:rFonts w:ascii="Times New Roman" w:hAnsi="Times New Roman"/>
          <w:b/>
          <w:sz w:val="22"/>
          <w:szCs w:val="22"/>
          <w:u w:val="single"/>
        </w:rPr>
      </w:pPr>
      <w:r w:rsidRPr="00E046BA">
        <w:rPr>
          <w:rFonts w:ascii="Times New Roman" w:hAnsi="Times New Roman"/>
          <w:b/>
          <w:sz w:val="22"/>
          <w:szCs w:val="22"/>
          <w:u w:val="single"/>
        </w:rPr>
        <w:t xml:space="preserve">Down from 51 </w:t>
      </w:r>
      <w:r>
        <w:rPr>
          <w:rFonts w:ascii="Times New Roman" w:hAnsi="Times New Roman"/>
          <w:b/>
          <w:sz w:val="22"/>
          <w:szCs w:val="22"/>
          <w:u w:val="single"/>
        </w:rPr>
        <w:t>TDD Approach</w:t>
      </w:r>
    </w:p>
    <w:p w14:paraId="4C3086D4" w14:textId="77777777" w:rsidR="009E3265" w:rsidRDefault="009E3265" w:rsidP="00446BB9">
      <w:pPr>
        <w:ind w:firstLine="720"/>
        <w:rPr>
          <w:rFonts w:ascii="Times New Roman" w:hAnsi="Times New Roman"/>
          <w:sz w:val="22"/>
          <w:szCs w:val="22"/>
        </w:rPr>
      </w:pPr>
    </w:p>
    <w:p w14:paraId="7CB16308" w14:textId="5635E293" w:rsidR="007E4068" w:rsidRDefault="00590D69" w:rsidP="00446BB9">
      <w:pPr>
        <w:ind w:firstLine="720"/>
        <w:rPr>
          <w:rFonts w:ascii="Times New Roman" w:hAnsi="Times New Roman"/>
          <w:sz w:val="22"/>
          <w:szCs w:val="22"/>
        </w:rPr>
      </w:pPr>
      <w:r>
        <w:rPr>
          <w:rFonts w:ascii="Times New Roman" w:hAnsi="Times New Roman"/>
          <w:sz w:val="22"/>
          <w:szCs w:val="22"/>
        </w:rPr>
        <w:t>In addition</w:t>
      </w:r>
      <w:r w:rsidR="00086AB6">
        <w:rPr>
          <w:rFonts w:ascii="Times New Roman" w:hAnsi="Times New Roman"/>
          <w:sz w:val="22"/>
          <w:szCs w:val="22"/>
        </w:rPr>
        <w:t>, we seek further comment on using a Down from 51 band plan framework with unpaired TDD blocks (“Down from 51 TDD”).</w:t>
      </w:r>
      <w:r w:rsidR="007B3170" w:rsidRPr="007B3170">
        <w:rPr>
          <w:rStyle w:val="FootnoteReference"/>
          <w:szCs w:val="22"/>
        </w:rPr>
        <w:t xml:space="preserve"> </w:t>
      </w:r>
      <w:r w:rsidR="007B3170">
        <w:rPr>
          <w:rStyle w:val="FootnoteReference"/>
          <w:szCs w:val="22"/>
        </w:rPr>
        <w:footnoteReference w:id="27"/>
      </w:r>
      <w:r w:rsidR="00086AB6">
        <w:rPr>
          <w:rFonts w:ascii="Times New Roman" w:hAnsi="Times New Roman"/>
          <w:sz w:val="22"/>
          <w:szCs w:val="22"/>
        </w:rPr>
        <w:t xml:space="preserve">  </w:t>
      </w:r>
      <w:r w:rsidR="00086AB6" w:rsidRPr="00086AB6">
        <w:rPr>
          <w:rFonts w:ascii="Times New Roman" w:hAnsi="Times New Roman"/>
          <w:sz w:val="22"/>
          <w:szCs w:val="22"/>
        </w:rPr>
        <w:t xml:space="preserve">Under a Down from 51 </w:t>
      </w:r>
      <w:r w:rsidR="00086AB6">
        <w:rPr>
          <w:rFonts w:ascii="Times New Roman" w:hAnsi="Times New Roman"/>
          <w:sz w:val="22"/>
          <w:szCs w:val="22"/>
        </w:rPr>
        <w:t>TDD</w:t>
      </w:r>
      <w:r w:rsidR="00086AB6" w:rsidRPr="00086AB6">
        <w:rPr>
          <w:rFonts w:ascii="Times New Roman" w:hAnsi="Times New Roman"/>
          <w:sz w:val="22"/>
          <w:szCs w:val="22"/>
        </w:rPr>
        <w:t xml:space="preserve"> band plan, the band would begin after a guard</w:t>
      </w:r>
      <w:r w:rsidR="00084433">
        <w:rPr>
          <w:rFonts w:ascii="Times New Roman" w:hAnsi="Times New Roman"/>
          <w:sz w:val="22"/>
          <w:szCs w:val="22"/>
        </w:rPr>
        <w:t xml:space="preserve"> band at channel 51 (698 MHz) and expand downward, followed by a guard band between wireless </w:t>
      </w:r>
      <w:r w:rsidR="004115D6">
        <w:rPr>
          <w:rFonts w:ascii="Times New Roman" w:hAnsi="Times New Roman"/>
          <w:sz w:val="22"/>
          <w:szCs w:val="22"/>
        </w:rPr>
        <w:t xml:space="preserve">operations </w:t>
      </w:r>
      <w:r w:rsidR="00084433">
        <w:rPr>
          <w:rFonts w:ascii="Times New Roman" w:hAnsi="Times New Roman"/>
          <w:sz w:val="22"/>
          <w:szCs w:val="22"/>
        </w:rPr>
        <w:t xml:space="preserve">and </w:t>
      </w:r>
      <w:r w:rsidR="004115D6">
        <w:rPr>
          <w:rFonts w:ascii="Times New Roman" w:hAnsi="Times New Roman"/>
          <w:sz w:val="22"/>
          <w:szCs w:val="22"/>
        </w:rPr>
        <w:t xml:space="preserve">broadcast television operations </w:t>
      </w:r>
      <w:r w:rsidR="00084433">
        <w:rPr>
          <w:rFonts w:ascii="Times New Roman" w:hAnsi="Times New Roman"/>
          <w:sz w:val="22"/>
          <w:szCs w:val="22"/>
        </w:rPr>
        <w:t>at the lower edge of the 600 MHz wireless band</w:t>
      </w:r>
      <w:r w:rsidR="00086AB6" w:rsidRPr="00086AB6">
        <w:rPr>
          <w:rFonts w:ascii="Times New Roman" w:hAnsi="Times New Roman"/>
          <w:sz w:val="22"/>
          <w:szCs w:val="22"/>
        </w:rPr>
        <w:t>.</w:t>
      </w:r>
      <w:r w:rsidR="00084433">
        <w:rPr>
          <w:rStyle w:val="FootnoteReference"/>
          <w:szCs w:val="22"/>
        </w:rPr>
        <w:footnoteReference w:id="28"/>
      </w:r>
      <w:r w:rsidR="00086AB6" w:rsidRPr="00086AB6">
        <w:rPr>
          <w:rFonts w:ascii="Times New Roman" w:hAnsi="Times New Roman"/>
          <w:sz w:val="22"/>
          <w:szCs w:val="22"/>
        </w:rPr>
        <w:t xml:space="preserve">  As </w:t>
      </w:r>
      <w:r w:rsidR="00084433">
        <w:rPr>
          <w:rFonts w:ascii="Times New Roman" w:hAnsi="Times New Roman"/>
          <w:sz w:val="22"/>
          <w:szCs w:val="22"/>
        </w:rPr>
        <w:t>in the other Down from 51 band plan proposals</w:t>
      </w:r>
      <w:r w:rsidR="00086AB6" w:rsidRPr="00086AB6">
        <w:rPr>
          <w:rFonts w:ascii="Times New Roman" w:hAnsi="Times New Roman"/>
          <w:sz w:val="22"/>
          <w:szCs w:val="22"/>
        </w:rPr>
        <w:t>, the band could extend past channel 37, either nationwide or in certain markets, depending on the amount of repurposed spectrum</w:t>
      </w:r>
      <w:r w:rsidR="00084433">
        <w:rPr>
          <w:rFonts w:ascii="Times New Roman" w:hAnsi="Times New Roman"/>
          <w:sz w:val="22"/>
          <w:szCs w:val="22"/>
        </w:rPr>
        <w:t xml:space="preserve">, which may also require </w:t>
      </w:r>
      <w:r w:rsidR="00AC6B75">
        <w:rPr>
          <w:rFonts w:ascii="Times New Roman" w:hAnsi="Times New Roman"/>
          <w:sz w:val="22"/>
          <w:szCs w:val="22"/>
        </w:rPr>
        <w:t>the Commission</w:t>
      </w:r>
      <w:r w:rsidR="00084433">
        <w:rPr>
          <w:rFonts w:ascii="Times New Roman" w:hAnsi="Times New Roman"/>
          <w:sz w:val="22"/>
          <w:szCs w:val="22"/>
        </w:rPr>
        <w:t xml:space="preserve"> to protect existing channel 37 operations</w:t>
      </w:r>
      <w:r w:rsidR="00086AB6" w:rsidRPr="00086AB6">
        <w:rPr>
          <w:rFonts w:ascii="Times New Roman" w:hAnsi="Times New Roman"/>
          <w:sz w:val="22"/>
          <w:szCs w:val="22"/>
        </w:rPr>
        <w:t>.</w:t>
      </w:r>
      <w:r w:rsidR="00446BB9">
        <w:rPr>
          <w:rStyle w:val="FootnoteReference"/>
          <w:szCs w:val="22"/>
        </w:rPr>
        <w:footnoteReference w:id="29"/>
      </w:r>
      <w:r w:rsidR="00446BB9">
        <w:rPr>
          <w:rFonts w:ascii="Times New Roman" w:hAnsi="Times New Roman"/>
          <w:sz w:val="22"/>
          <w:szCs w:val="22"/>
        </w:rPr>
        <w:t xml:space="preserve">  </w:t>
      </w:r>
    </w:p>
    <w:p w14:paraId="3C3118F3" w14:textId="77777777" w:rsidR="007E4068" w:rsidRDefault="007E4068" w:rsidP="00446BB9">
      <w:pPr>
        <w:ind w:firstLine="720"/>
        <w:rPr>
          <w:rFonts w:ascii="Times New Roman" w:hAnsi="Times New Roman"/>
          <w:sz w:val="22"/>
          <w:szCs w:val="22"/>
        </w:rPr>
      </w:pPr>
    </w:p>
    <w:p w14:paraId="4297039C" w14:textId="098774E8" w:rsidR="00446BB9" w:rsidRDefault="00446BB9" w:rsidP="00446BB9">
      <w:pPr>
        <w:ind w:firstLine="720"/>
        <w:rPr>
          <w:rFonts w:ascii="Times New Roman" w:hAnsi="Times New Roman"/>
          <w:sz w:val="22"/>
          <w:szCs w:val="22"/>
        </w:rPr>
      </w:pPr>
      <w:r>
        <w:rPr>
          <w:rFonts w:ascii="Times New Roman" w:hAnsi="Times New Roman"/>
          <w:sz w:val="22"/>
          <w:szCs w:val="22"/>
        </w:rPr>
        <w:t xml:space="preserve">Although </w:t>
      </w:r>
      <w:r w:rsidR="007E4068">
        <w:rPr>
          <w:rFonts w:ascii="Times New Roman" w:hAnsi="Times New Roman"/>
          <w:sz w:val="22"/>
          <w:szCs w:val="22"/>
        </w:rPr>
        <w:t xml:space="preserve">the Down from 51 TDD </w:t>
      </w:r>
      <w:r>
        <w:rPr>
          <w:rFonts w:ascii="Times New Roman" w:hAnsi="Times New Roman"/>
          <w:sz w:val="22"/>
          <w:szCs w:val="22"/>
        </w:rPr>
        <w:t xml:space="preserve">band plan would require guard bands at both ends of the 600 MHz wireless band, no duplex gap is necessary.  Further, the Down from 51 TDD band plan </w:t>
      </w:r>
      <w:r w:rsidR="00DE7878">
        <w:rPr>
          <w:rFonts w:ascii="Times New Roman" w:hAnsi="Times New Roman"/>
          <w:sz w:val="22"/>
          <w:szCs w:val="22"/>
        </w:rPr>
        <w:t xml:space="preserve">would </w:t>
      </w:r>
      <w:r>
        <w:rPr>
          <w:rFonts w:ascii="Times New Roman" w:hAnsi="Times New Roman"/>
          <w:sz w:val="22"/>
          <w:szCs w:val="22"/>
        </w:rPr>
        <w:t xml:space="preserve">allow for market variation without placing television stations in the duplex gap. </w:t>
      </w:r>
      <w:r w:rsidR="00703178">
        <w:rPr>
          <w:rFonts w:ascii="Times New Roman" w:hAnsi="Times New Roman"/>
          <w:sz w:val="22"/>
          <w:szCs w:val="22"/>
        </w:rPr>
        <w:t xml:space="preserve"> </w:t>
      </w:r>
      <w:r w:rsidR="004115D6">
        <w:rPr>
          <w:rFonts w:ascii="Times New Roman" w:hAnsi="Times New Roman"/>
          <w:sz w:val="22"/>
          <w:szCs w:val="22"/>
        </w:rPr>
        <w:t>Although</w:t>
      </w:r>
      <w:r w:rsidR="00703178" w:rsidRPr="00703178">
        <w:rPr>
          <w:rFonts w:ascii="Times New Roman" w:hAnsi="Times New Roman"/>
          <w:sz w:val="22"/>
          <w:szCs w:val="22"/>
        </w:rPr>
        <w:t xml:space="preserve"> </w:t>
      </w:r>
      <w:r w:rsidR="00703178">
        <w:rPr>
          <w:rFonts w:ascii="Times New Roman" w:hAnsi="Times New Roman"/>
          <w:sz w:val="22"/>
          <w:szCs w:val="22"/>
        </w:rPr>
        <w:t>a</w:t>
      </w:r>
      <w:r w:rsidR="00703178" w:rsidRPr="00703178">
        <w:rPr>
          <w:rFonts w:ascii="Times New Roman" w:hAnsi="Times New Roman"/>
          <w:sz w:val="22"/>
          <w:szCs w:val="22"/>
        </w:rPr>
        <w:t xml:space="preserve"> TDD </w:t>
      </w:r>
      <w:r w:rsidR="00F173F8">
        <w:rPr>
          <w:rFonts w:ascii="Times New Roman" w:hAnsi="Times New Roman"/>
          <w:sz w:val="22"/>
          <w:szCs w:val="22"/>
        </w:rPr>
        <w:t xml:space="preserve">band </w:t>
      </w:r>
      <w:r w:rsidR="00703178">
        <w:rPr>
          <w:rFonts w:ascii="Times New Roman" w:hAnsi="Times New Roman"/>
          <w:sz w:val="22"/>
          <w:szCs w:val="22"/>
        </w:rPr>
        <w:t xml:space="preserve">plan </w:t>
      </w:r>
      <w:r w:rsidR="00DE7878">
        <w:rPr>
          <w:rFonts w:ascii="Times New Roman" w:hAnsi="Times New Roman"/>
          <w:sz w:val="22"/>
          <w:szCs w:val="22"/>
        </w:rPr>
        <w:t xml:space="preserve">could </w:t>
      </w:r>
      <w:r w:rsidR="001628A9">
        <w:rPr>
          <w:rFonts w:ascii="Times New Roman" w:hAnsi="Times New Roman"/>
          <w:sz w:val="22"/>
          <w:szCs w:val="22"/>
        </w:rPr>
        <w:t xml:space="preserve">not </w:t>
      </w:r>
      <w:r w:rsidR="001628A9" w:rsidRPr="00703178">
        <w:rPr>
          <w:rFonts w:ascii="Times New Roman" w:hAnsi="Times New Roman"/>
          <w:sz w:val="22"/>
          <w:szCs w:val="22"/>
        </w:rPr>
        <w:t>support</w:t>
      </w:r>
      <w:r w:rsidR="00703178" w:rsidRPr="00703178">
        <w:rPr>
          <w:rFonts w:ascii="Times New Roman" w:hAnsi="Times New Roman"/>
          <w:sz w:val="22"/>
          <w:szCs w:val="22"/>
        </w:rPr>
        <w:t xml:space="preserve"> market variation through variable uplink, it </w:t>
      </w:r>
      <w:r w:rsidR="00DE7878">
        <w:rPr>
          <w:rFonts w:ascii="Times New Roman" w:hAnsi="Times New Roman"/>
          <w:sz w:val="22"/>
          <w:szCs w:val="22"/>
        </w:rPr>
        <w:t>could</w:t>
      </w:r>
      <w:r w:rsidR="00DE7878" w:rsidRPr="00703178">
        <w:rPr>
          <w:rFonts w:ascii="Times New Roman" w:hAnsi="Times New Roman"/>
          <w:sz w:val="22"/>
          <w:szCs w:val="22"/>
        </w:rPr>
        <w:t xml:space="preserve"> </w:t>
      </w:r>
      <w:r w:rsidR="00703178" w:rsidRPr="00703178">
        <w:rPr>
          <w:rFonts w:ascii="Times New Roman" w:hAnsi="Times New Roman"/>
          <w:sz w:val="22"/>
          <w:szCs w:val="22"/>
        </w:rPr>
        <w:t xml:space="preserve">support </w:t>
      </w:r>
      <w:r w:rsidR="00F173F8">
        <w:rPr>
          <w:rFonts w:ascii="Times New Roman" w:hAnsi="Times New Roman"/>
          <w:sz w:val="22"/>
          <w:szCs w:val="22"/>
        </w:rPr>
        <w:t xml:space="preserve">market </w:t>
      </w:r>
      <w:r w:rsidR="00703178" w:rsidRPr="00703178">
        <w:rPr>
          <w:rFonts w:ascii="Times New Roman" w:hAnsi="Times New Roman"/>
          <w:sz w:val="22"/>
          <w:szCs w:val="22"/>
        </w:rPr>
        <w:t>variation through an alternative approach that</w:t>
      </w:r>
      <w:r w:rsidR="00F173F8">
        <w:rPr>
          <w:rFonts w:ascii="Times New Roman" w:hAnsi="Times New Roman"/>
          <w:sz w:val="22"/>
          <w:szCs w:val="22"/>
        </w:rPr>
        <w:t xml:space="preserve"> aligns </w:t>
      </w:r>
      <w:r w:rsidR="00703178" w:rsidRPr="00703178">
        <w:rPr>
          <w:rFonts w:ascii="Times New Roman" w:hAnsi="Times New Roman"/>
          <w:sz w:val="22"/>
          <w:szCs w:val="22"/>
        </w:rPr>
        <w:t xml:space="preserve">the amount </w:t>
      </w:r>
      <w:r w:rsidR="00F531EB">
        <w:rPr>
          <w:rFonts w:ascii="Times New Roman" w:hAnsi="Times New Roman"/>
          <w:sz w:val="22"/>
          <w:szCs w:val="22"/>
        </w:rPr>
        <w:t xml:space="preserve">of </w:t>
      </w:r>
      <w:r w:rsidR="00D2402C">
        <w:rPr>
          <w:rFonts w:ascii="Times New Roman" w:hAnsi="Times New Roman"/>
          <w:sz w:val="22"/>
          <w:szCs w:val="22"/>
        </w:rPr>
        <w:t>repurposed spectrum</w:t>
      </w:r>
      <w:r w:rsidR="00703178" w:rsidRPr="00703178">
        <w:rPr>
          <w:rFonts w:ascii="Times New Roman" w:hAnsi="Times New Roman"/>
          <w:sz w:val="22"/>
          <w:szCs w:val="22"/>
        </w:rPr>
        <w:t xml:space="preserve"> in constrained markets with the expected filter configurations</w:t>
      </w:r>
      <w:r w:rsidR="00703178">
        <w:rPr>
          <w:rFonts w:ascii="Times New Roman" w:hAnsi="Times New Roman"/>
          <w:sz w:val="22"/>
          <w:szCs w:val="22"/>
        </w:rPr>
        <w:t>, as shown below</w:t>
      </w:r>
      <w:r>
        <w:rPr>
          <w:rFonts w:ascii="Times New Roman" w:hAnsi="Times New Roman"/>
          <w:sz w:val="22"/>
          <w:szCs w:val="22"/>
        </w:rPr>
        <w:t>.</w:t>
      </w:r>
      <w:r>
        <w:rPr>
          <w:rStyle w:val="FootnoteReference"/>
          <w:szCs w:val="22"/>
        </w:rPr>
        <w:footnoteReference w:id="30"/>
      </w:r>
      <w:r>
        <w:rPr>
          <w:rFonts w:ascii="Times New Roman" w:hAnsi="Times New Roman"/>
          <w:sz w:val="22"/>
          <w:szCs w:val="22"/>
        </w:rPr>
        <w:t xml:space="preserve"> </w:t>
      </w:r>
    </w:p>
    <w:p w14:paraId="65525C03" w14:textId="77777777" w:rsidR="00DE7878" w:rsidRDefault="00DE7878" w:rsidP="00446BB9">
      <w:pPr>
        <w:ind w:firstLine="720"/>
        <w:rPr>
          <w:rFonts w:ascii="Times New Roman" w:hAnsi="Times New Roman"/>
          <w:sz w:val="22"/>
          <w:szCs w:val="22"/>
        </w:rPr>
      </w:pPr>
    </w:p>
    <w:p w14:paraId="7EC4F75B" w14:textId="77777777" w:rsidR="00DE7878" w:rsidRPr="007860E9" w:rsidRDefault="00DE7878" w:rsidP="00DE7878">
      <w:pPr>
        <w:ind w:firstLine="720"/>
        <w:jc w:val="center"/>
        <w:rPr>
          <w:rFonts w:ascii="Times New Roman" w:hAnsi="Times New Roman"/>
          <w:b/>
          <w:sz w:val="22"/>
          <w:szCs w:val="22"/>
        </w:rPr>
      </w:pPr>
      <w:r>
        <w:rPr>
          <w:rFonts w:ascii="Times New Roman" w:hAnsi="Times New Roman"/>
          <w:b/>
          <w:sz w:val="22"/>
          <w:szCs w:val="22"/>
        </w:rPr>
        <w:t xml:space="preserve">Market Variation in Down from 51 TDD, less than 84 MHz cleared </w:t>
      </w:r>
    </w:p>
    <w:p w14:paraId="36724FA3" w14:textId="77777777" w:rsidR="00446BB9" w:rsidRDefault="00446BB9" w:rsidP="00446BB9">
      <w:pPr>
        <w:ind w:firstLine="720"/>
        <w:rPr>
          <w:rFonts w:ascii="Times New Roman" w:hAnsi="Times New Roman"/>
          <w:sz w:val="22"/>
          <w:szCs w:val="22"/>
        </w:rPr>
      </w:pPr>
    </w:p>
    <w:p w14:paraId="5A66037E" w14:textId="77777777" w:rsidR="00DB12E9" w:rsidRDefault="00DB12E9" w:rsidP="00446BB9">
      <w:pPr>
        <w:ind w:firstLine="720"/>
        <w:rPr>
          <w:rFonts w:ascii="Times New Roman" w:hAnsi="Times New Roman"/>
          <w:sz w:val="22"/>
          <w:szCs w:val="22"/>
        </w:rPr>
      </w:pPr>
      <w:r w:rsidRPr="00DB12E9">
        <w:rPr>
          <w:noProof/>
        </w:rPr>
        <w:drawing>
          <wp:inline distT="0" distB="0" distL="0" distR="0" wp14:anchorId="77179F88" wp14:editId="605015D9">
            <wp:extent cx="5351145" cy="116903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1145" cy="1169035"/>
                    </a:xfrm>
                    <a:prstGeom prst="rect">
                      <a:avLst/>
                    </a:prstGeom>
                    <a:noFill/>
                    <a:ln>
                      <a:noFill/>
                    </a:ln>
                  </pic:spPr>
                </pic:pic>
              </a:graphicData>
            </a:graphic>
          </wp:inline>
        </w:drawing>
      </w:r>
    </w:p>
    <w:p w14:paraId="16A0EC77" w14:textId="77777777" w:rsidR="00C9759D" w:rsidRPr="00C9759D" w:rsidRDefault="00C9759D" w:rsidP="00DB12E9">
      <w:pPr>
        <w:ind w:firstLine="720"/>
        <w:jc w:val="center"/>
        <w:rPr>
          <w:rFonts w:ascii="Times New Roman" w:hAnsi="Times New Roman"/>
          <w:b/>
          <w:sz w:val="10"/>
          <w:szCs w:val="10"/>
        </w:rPr>
      </w:pPr>
    </w:p>
    <w:p w14:paraId="66A9D01B" w14:textId="77777777" w:rsidR="001628A9" w:rsidRDefault="001628A9" w:rsidP="00DE7878">
      <w:pPr>
        <w:ind w:firstLine="720"/>
        <w:jc w:val="center"/>
        <w:rPr>
          <w:rFonts w:ascii="Times New Roman" w:hAnsi="Times New Roman"/>
          <w:b/>
          <w:sz w:val="22"/>
          <w:szCs w:val="22"/>
        </w:rPr>
      </w:pPr>
    </w:p>
    <w:p w14:paraId="14744A26" w14:textId="77777777" w:rsidR="00DE7878" w:rsidRPr="00DD44D7" w:rsidRDefault="00DE7878" w:rsidP="00DE7878">
      <w:pPr>
        <w:ind w:firstLine="720"/>
        <w:jc w:val="center"/>
        <w:rPr>
          <w:rFonts w:ascii="Times New Roman" w:hAnsi="Times New Roman"/>
          <w:b/>
          <w:sz w:val="22"/>
          <w:szCs w:val="22"/>
        </w:rPr>
      </w:pPr>
      <w:r>
        <w:rPr>
          <w:rFonts w:ascii="Times New Roman" w:hAnsi="Times New Roman"/>
          <w:b/>
          <w:sz w:val="22"/>
          <w:szCs w:val="22"/>
        </w:rPr>
        <w:t xml:space="preserve">Market Variation in Down from 51 TDD, more than 84 MHz cleared </w:t>
      </w:r>
    </w:p>
    <w:p w14:paraId="269F876D" w14:textId="77777777" w:rsidR="00DB12E9" w:rsidRDefault="00DB12E9" w:rsidP="00446BB9">
      <w:pPr>
        <w:ind w:firstLine="720"/>
        <w:rPr>
          <w:rFonts w:ascii="Times New Roman" w:hAnsi="Times New Roman"/>
          <w:sz w:val="22"/>
          <w:szCs w:val="22"/>
        </w:rPr>
      </w:pPr>
    </w:p>
    <w:p w14:paraId="511B169F" w14:textId="77777777" w:rsidR="00DB12E9" w:rsidRDefault="00DB12E9" w:rsidP="00446BB9">
      <w:pPr>
        <w:ind w:firstLine="720"/>
        <w:rPr>
          <w:rFonts w:ascii="Times New Roman" w:hAnsi="Times New Roman"/>
          <w:sz w:val="22"/>
          <w:szCs w:val="22"/>
        </w:rPr>
      </w:pPr>
      <w:r w:rsidRPr="00DB12E9">
        <w:rPr>
          <w:noProof/>
        </w:rPr>
        <w:drawing>
          <wp:inline distT="0" distB="0" distL="0" distR="0" wp14:anchorId="7B62FFF8" wp14:editId="2002BAA4">
            <wp:extent cx="5351145" cy="151066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1145" cy="1510665"/>
                    </a:xfrm>
                    <a:prstGeom prst="rect">
                      <a:avLst/>
                    </a:prstGeom>
                    <a:noFill/>
                    <a:ln>
                      <a:noFill/>
                    </a:ln>
                  </pic:spPr>
                </pic:pic>
              </a:graphicData>
            </a:graphic>
          </wp:inline>
        </w:drawing>
      </w:r>
    </w:p>
    <w:p w14:paraId="173FAA2E" w14:textId="77777777" w:rsidR="00C9759D" w:rsidRPr="00C9759D" w:rsidRDefault="00C9759D" w:rsidP="00DD44D7">
      <w:pPr>
        <w:ind w:firstLine="720"/>
        <w:jc w:val="center"/>
        <w:rPr>
          <w:rFonts w:ascii="Times New Roman" w:hAnsi="Times New Roman"/>
          <w:b/>
          <w:sz w:val="10"/>
          <w:szCs w:val="10"/>
        </w:rPr>
      </w:pPr>
    </w:p>
    <w:p w14:paraId="732F1EDD" w14:textId="77777777" w:rsidR="00DB12E9" w:rsidRDefault="00DB12E9" w:rsidP="00446BB9">
      <w:pPr>
        <w:ind w:firstLine="720"/>
        <w:rPr>
          <w:rFonts w:ascii="Times New Roman" w:hAnsi="Times New Roman"/>
          <w:sz w:val="22"/>
          <w:szCs w:val="22"/>
        </w:rPr>
      </w:pPr>
    </w:p>
    <w:p w14:paraId="71BFF1C1" w14:textId="4A85AC4D" w:rsidR="00086AB6" w:rsidRDefault="00446BB9" w:rsidP="00446BB9">
      <w:pPr>
        <w:ind w:firstLine="720"/>
        <w:rPr>
          <w:rFonts w:ascii="Times New Roman" w:hAnsi="Times New Roman"/>
          <w:sz w:val="22"/>
          <w:szCs w:val="22"/>
        </w:rPr>
      </w:pPr>
      <w:r>
        <w:rPr>
          <w:rFonts w:ascii="Times New Roman" w:hAnsi="Times New Roman"/>
          <w:sz w:val="22"/>
          <w:szCs w:val="22"/>
        </w:rPr>
        <w:t xml:space="preserve">We seek </w:t>
      </w:r>
      <w:r w:rsidR="00406B5A">
        <w:rPr>
          <w:rFonts w:ascii="Times New Roman" w:hAnsi="Times New Roman"/>
          <w:sz w:val="22"/>
          <w:szCs w:val="22"/>
        </w:rPr>
        <w:t xml:space="preserve">additional </w:t>
      </w:r>
      <w:r>
        <w:rPr>
          <w:rFonts w:ascii="Times New Roman" w:hAnsi="Times New Roman"/>
          <w:sz w:val="22"/>
          <w:szCs w:val="22"/>
        </w:rPr>
        <w:t xml:space="preserve">comment on </w:t>
      </w:r>
      <w:r w:rsidR="00355D3D">
        <w:rPr>
          <w:rFonts w:ascii="Times New Roman" w:hAnsi="Times New Roman"/>
          <w:sz w:val="22"/>
          <w:szCs w:val="22"/>
        </w:rPr>
        <w:t xml:space="preserve">this </w:t>
      </w:r>
      <w:r w:rsidR="00406B5A">
        <w:rPr>
          <w:rFonts w:ascii="Times New Roman" w:hAnsi="Times New Roman"/>
          <w:sz w:val="22"/>
          <w:szCs w:val="22"/>
        </w:rPr>
        <w:t xml:space="preserve">Down from 51 TDD band plan.  Specifically, we seek comment on the </w:t>
      </w:r>
      <w:r w:rsidR="00086AB6">
        <w:rPr>
          <w:rFonts w:ascii="Times New Roman" w:hAnsi="Times New Roman"/>
          <w:sz w:val="22"/>
          <w:szCs w:val="22"/>
        </w:rPr>
        <w:t xml:space="preserve">tradeoffs associated with implementing the Down from 51 </w:t>
      </w:r>
      <w:r>
        <w:rPr>
          <w:rFonts w:ascii="Times New Roman" w:hAnsi="Times New Roman"/>
          <w:sz w:val="22"/>
          <w:szCs w:val="22"/>
        </w:rPr>
        <w:t xml:space="preserve">TDD </w:t>
      </w:r>
      <w:r w:rsidR="00086AB6">
        <w:rPr>
          <w:rFonts w:ascii="Times New Roman" w:hAnsi="Times New Roman"/>
          <w:sz w:val="22"/>
          <w:szCs w:val="22"/>
        </w:rPr>
        <w:t xml:space="preserve">band plan as compared </w:t>
      </w:r>
      <w:r w:rsidR="001F4AEA">
        <w:rPr>
          <w:rFonts w:ascii="Times New Roman" w:hAnsi="Times New Roman"/>
          <w:sz w:val="22"/>
          <w:szCs w:val="22"/>
        </w:rPr>
        <w:t xml:space="preserve">to </w:t>
      </w:r>
      <w:r>
        <w:rPr>
          <w:rFonts w:ascii="Times New Roman" w:hAnsi="Times New Roman"/>
          <w:sz w:val="22"/>
          <w:szCs w:val="22"/>
        </w:rPr>
        <w:t xml:space="preserve">the other Down from 51 band plan variations that also </w:t>
      </w:r>
      <w:r w:rsidR="00F8781D">
        <w:rPr>
          <w:rFonts w:ascii="Times New Roman" w:hAnsi="Times New Roman"/>
          <w:sz w:val="22"/>
          <w:szCs w:val="22"/>
        </w:rPr>
        <w:t>accommodate market variation</w:t>
      </w:r>
      <w:r>
        <w:rPr>
          <w:rFonts w:ascii="Times New Roman" w:hAnsi="Times New Roman"/>
          <w:sz w:val="22"/>
          <w:szCs w:val="22"/>
        </w:rPr>
        <w:t xml:space="preserve">.  Which band plan provides the most flexibility while maintaining the best certainty about the operating environment?  </w:t>
      </w:r>
    </w:p>
    <w:p w14:paraId="6BAA6D06" w14:textId="77777777" w:rsidR="0072016E" w:rsidRDefault="0072016E" w:rsidP="0072016E">
      <w:pPr>
        <w:ind w:firstLine="720"/>
        <w:rPr>
          <w:rFonts w:ascii="Times New Roman" w:hAnsi="Times New Roman"/>
          <w:sz w:val="22"/>
          <w:szCs w:val="22"/>
        </w:rPr>
      </w:pPr>
    </w:p>
    <w:p w14:paraId="04257F63" w14:textId="77777777" w:rsidR="001C3090" w:rsidRDefault="001C3090" w:rsidP="00692A9D">
      <w:pPr>
        <w:pStyle w:val="Paranum0"/>
        <w:widowControl/>
        <w:ind w:firstLine="0"/>
        <w:jc w:val="center"/>
      </w:pPr>
      <w:r>
        <w:t>***</w:t>
      </w:r>
    </w:p>
    <w:p w14:paraId="2D94A45A" w14:textId="77777777" w:rsidR="001C3090" w:rsidRDefault="001C3090" w:rsidP="001C3090">
      <w:pPr>
        <w:pStyle w:val="Paranum0"/>
        <w:widowControl/>
      </w:pPr>
      <w:r>
        <w:t xml:space="preserve">Interested parties may file comments and reply comments on or before </w:t>
      </w:r>
      <w:r>
        <w:rPr>
          <w:bCs/>
        </w:rPr>
        <w:t>the dates indicated on the first page of this document</w:t>
      </w:r>
      <w:r>
        <w:t xml:space="preserve">.  When filing comments, please reference </w:t>
      </w:r>
      <w:r>
        <w:rPr>
          <w:b/>
        </w:rPr>
        <w:t>GN Docket No. 12-268</w:t>
      </w:r>
      <w:r>
        <w:t>.</w:t>
      </w:r>
      <w:r w:rsidR="0078627B">
        <w:rPr>
          <w:rStyle w:val="FootnoteReference"/>
        </w:rPr>
        <w:footnoteReference w:id="31"/>
      </w:r>
    </w:p>
    <w:p w14:paraId="3A71CAB1" w14:textId="77777777" w:rsidR="001C3090" w:rsidRDefault="001C3090" w:rsidP="001C3090">
      <w:pPr>
        <w:pStyle w:val="Paranum0"/>
        <w:widowControl/>
      </w:pPr>
      <w:r>
        <w:t>Comments may be filed using the Commission’s Electronic Comment Filing System (ECFS) or by filing paper copies.</w:t>
      </w:r>
      <w:r>
        <w:rPr>
          <w:vertAlign w:val="superscript"/>
        </w:rPr>
        <w:footnoteReference w:id="32"/>
      </w:r>
      <w:r>
        <w:rPr>
          <w:vertAlign w:val="superscript"/>
        </w:rPr>
        <w:t xml:space="preserve"> </w:t>
      </w:r>
      <w:r>
        <w:t xml:space="preserve"> Comments filed through the ECFS can be sent as an electronic file via the Internet to http://www.fcc.gov/cgb/ecfs/.  Generally, only one copy of an electronic submission must be filed.  If multiple docket or rulemaking numbers appear in the caption of the proceeding,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numbers.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  Parties who choose to file by paper must file an original and four copies of each filing.  If more than one docket or rulemaking number appears in the caption of this proceeding, commenters must submit two additional copies for each additional docket or rulemaking number.</w:t>
      </w:r>
    </w:p>
    <w:p w14:paraId="3A79B268" w14:textId="77777777" w:rsidR="001C3090" w:rsidRDefault="001C3090" w:rsidP="001C3090">
      <w:pPr>
        <w:pStyle w:val="Paranum0"/>
        <w:widowControl/>
      </w:pPr>
      <w:r>
        <w:t xml:space="preserve">Filings can be sent by hand or messenger delivery, by commercial overnight courier, or by first-class or overnight U.S. Postal Service mail (although we continue to experience delays in receiving U.S. Postal Service mail).  Parties are strongly encouraged to file comments electronically using the Commission’s ECFS.  All filings must be addressed to the Commission’s Secretary, Office of the Secretary, Federal Communications Commission, 445 12th Street, S.W., Washington, D.C. 20554.  </w:t>
      </w:r>
    </w:p>
    <w:p w14:paraId="69BE0BE8" w14:textId="77777777" w:rsidR="001C3090" w:rsidRDefault="001C3090" w:rsidP="001C3090">
      <w:pPr>
        <w:pStyle w:val="Paranum0"/>
        <w:widowControl/>
        <w:numPr>
          <w:ilvl w:val="0"/>
          <w:numId w:val="20"/>
        </w:numPr>
      </w:pPr>
      <w:r>
        <w:t>Effective December 28, 2009, all hand-delivered or messenger-delivered paper filings for the Commission’s Secretary must be delivered to FCC Headquarters at 445 12</w:t>
      </w:r>
      <w:r>
        <w:rPr>
          <w:vertAlign w:val="superscript"/>
        </w:rPr>
        <w:t>th</w:t>
      </w:r>
      <w:r>
        <w:t xml:space="preserve"> St., SW, Room TW-A325, Washington, DC 20554.  All hand deliveries must be held together with rubber bands or fasteners.  Any envelopes must be disposed of </w:t>
      </w:r>
      <w:r>
        <w:rPr>
          <w:u w:val="single"/>
        </w:rPr>
        <w:t>before</w:t>
      </w:r>
      <w:r>
        <w:t xml:space="preserve"> entering the building.  The filing hours at this location are 8:00 a.m. to 7:00 p.m.</w:t>
      </w:r>
    </w:p>
    <w:p w14:paraId="3ADBB21A" w14:textId="77777777" w:rsidR="001C3090" w:rsidRDefault="001C3090" w:rsidP="001C3090">
      <w:pPr>
        <w:pStyle w:val="Paranum0"/>
        <w:widowControl/>
        <w:numPr>
          <w:ilvl w:val="0"/>
          <w:numId w:val="20"/>
        </w:numPr>
      </w:pPr>
      <w:r>
        <w:t>Commercial overnight mail (other than U.S. Postal Service Express Mail and Priority Mail) must be sent to 9300 East Hampton Drive, Capitol Heights, MD  20743.</w:t>
      </w:r>
    </w:p>
    <w:p w14:paraId="194C5BBA" w14:textId="77777777" w:rsidR="001C3090" w:rsidRDefault="001C3090" w:rsidP="001C3090">
      <w:pPr>
        <w:pStyle w:val="Paranum0"/>
        <w:widowControl/>
        <w:numPr>
          <w:ilvl w:val="0"/>
          <w:numId w:val="20"/>
        </w:numPr>
      </w:pPr>
      <w:r>
        <w:t>U.S. Postal Service first-class, Express, and Priority mail must be addressed to 445 12</w:t>
      </w:r>
      <w:r>
        <w:rPr>
          <w:vertAlign w:val="superscript"/>
        </w:rPr>
        <w:t>th</w:t>
      </w:r>
      <w:r>
        <w:t xml:space="preserve"> Street, SW, Washington DC  20554.</w:t>
      </w:r>
    </w:p>
    <w:p w14:paraId="21679E9A" w14:textId="77777777" w:rsidR="001C3090" w:rsidRDefault="001C3090" w:rsidP="001C3090">
      <w:pPr>
        <w:pStyle w:val="Paranum0"/>
        <w:widowControl/>
      </w:pPr>
      <w:r>
        <w:t>Parties shall also serve one copy with the Commission’s copy contractor, Best Copy and Printing, Inc. (BCPI), Portals II, 445 12th Street, S.W., Room CY-B402, Washington, D.C. 20554, (202) 488-5300, or via e-mail to fcc@bcpiweb.com.</w:t>
      </w:r>
    </w:p>
    <w:p w14:paraId="1F3C3DFC" w14:textId="77777777" w:rsidR="001C3090" w:rsidRDefault="001C3090" w:rsidP="001C3090">
      <w:pPr>
        <w:pStyle w:val="Paranum0"/>
        <w:widowControl/>
      </w:pPr>
      <w:r>
        <w:t xml:space="preserve">Documents in GN Docket No. </w:t>
      </w:r>
      <w:r w:rsidR="00296818">
        <w:t>12-268</w:t>
      </w:r>
      <w:r>
        <w:t xml:space="preserve"> will be available for public inspection and copying during business hours at the FCC Reference Information Center, Portals II, 445 12</w:t>
      </w:r>
      <w:r>
        <w:rPr>
          <w:vertAlign w:val="superscript"/>
        </w:rPr>
        <w:t>th</w:t>
      </w:r>
      <w:r>
        <w:t xml:space="preserve"> St. S.W., Room CY-A257, Washington, DC 20554.  The documents may also be purchased from BCPI, telephone (202) 488-5300, facsimile (202) 488-5563, TTY (202) 488-5562, e-mail fcc@bcpiweb.com.</w:t>
      </w:r>
    </w:p>
    <w:p w14:paraId="65229D53" w14:textId="77777777" w:rsidR="001C3090" w:rsidRDefault="001C3090" w:rsidP="001C3090">
      <w:pPr>
        <w:pStyle w:val="Paranum0"/>
        <w:widowControl/>
      </w:pPr>
      <w:r>
        <w:t>To request materials in accessible formats for people with disabilities (Braille, large print, electronic files, audio format), send an e-mail to fcc504@fcc.gov or call the Consumer &amp; Governmental Affairs Bureau at 202-418-0530 (voice), 202-418-0432 (tty).</w:t>
      </w:r>
    </w:p>
    <w:p w14:paraId="7BFA5C81" w14:textId="77777777" w:rsidR="00D46F89" w:rsidRDefault="001C3090" w:rsidP="00BA1C7D">
      <w:pPr>
        <w:pStyle w:val="Paranum0"/>
        <w:widowControl/>
      </w:pPr>
      <w:r>
        <w:t xml:space="preserve">This matter shall be treated as a “permit-but-disclose” proceeding in accordance with the </w:t>
      </w:r>
      <w:r>
        <w:rPr>
          <w:i/>
        </w:rPr>
        <w:t>ex parte</w:t>
      </w:r>
      <w:r>
        <w:t xml:space="preserve"> rules.</w:t>
      </w:r>
      <w:r>
        <w:rPr>
          <w:vertAlign w:val="superscript"/>
        </w:rPr>
        <w:footnoteReference w:id="33"/>
      </w:r>
      <w:r>
        <w:t xml:space="preserve">  Persons making oral </w:t>
      </w:r>
      <w:r>
        <w:rPr>
          <w:i/>
        </w:rPr>
        <w:t>ex parte</w:t>
      </w:r>
      <w:r>
        <w:t xml:space="preserve"> presentations are reminded that memoranda summarizing the presentations must contain summaries of the substance of the presentations and not merely a listing of the subjects discussed.  More than a one- or two-sentence description of the views and arguments presented generally is required.</w:t>
      </w:r>
      <w:r>
        <w:rPr>
          <w:vertAlign w:val="superscript"/>
        </w:rPr>
        <w:footnoteReference w:id="34"/>
      </w:r>
      <w:r>
        <w:t xml:space="preserve">  Other requirements pertaining to oral and written presentations are set forth in section 1.1206(b) of the rules.</w:t>
      </w:r>
      <w:r>
        <w:rPr>
          <w:vertAlign w:val="superscript"/>
        </w:rPr>
        <w:footnoteReference w:id="35"/>
      </w:r>
    </w:p>
    <w:p w14:paraId="4EBBBB85" w14:textId="3F5B09BF" w:rsidR="00D46F89" w:rsidRDefault="00D46F89" w:rsidP="00BA1C7D">
      <w:pPr>
        <w:pStyle w:val="Paranum0"/>
        <w:widowControl/>
      </w:pPr>
      <w:r>
        <w:t xml:space="preserve">For </w:t>
      </w:r>
      <w:r w:rsidRPr="008D4177">
        <w:t xml:space="preserve">further </w:t>
      </w:r>
      <w:r w:rsidRPr="00003158">
        <w:t xml:space="preserve">information, contact Paul Malmud at 202-418-0006, or via e-mail at </w:t>
      </w:r>
      <w:hyperlink r:id="rId14" w:history="1">
        <w:r w:rsidRPr="00003158">
          <w:rPr>
            <w:rStyle w:val="Hyperlink"/>
          </w:rPr>
          <w:t>Paul.Malmud@fcc.gov</w:t>
        </w:r>
      </w:hyperlink>
      <w:r w:rsidRPr="00003158">
        <w:t>.</w:t>
      </w:r>
    </w:p>
    <w:p w14:paraId="16409836" w14:textId="77777777" w:rsidR="00E80BB7" w:rsidRPr="008D4177" w:rsidRDefault="00E80BB7" w:rsidP="00BA1C7D">
      <w:pPr>
        <w:pStyle w:val="Paranum0"/>
        <w:widowControl/>
      </w:pPr>
    </w:p>
    <w:p w14:paraId="1315C47F" w14:textId="77777777" w:rsidR="00614DD1" w:rsidRPr="00186B77" w:rsidRDefault="00614DD1" w:rsidP="00950CA5">
      <w:pPr>
        <w:tabs>
          <w:tab w:val="left" w:pos="6960"/>
        </w:tabs>
        <w:spacing w:after="120"/>
        <w:ind w:left="792"/>
        <w:jc w:val="center"/>
        <w:rPr>
          <w:rFonts w:ascii="Times New Roman" w:hAnsi="Times New Roman"/>
          <w:b/>
          <w:sz w:val="22"/>
          <w:szCs w:val="22"/>
        </w:rPr>
      </w:pPr>
      <w:r w:rsidRPr="00186B77">
        <w:rPr>
          <w:rFonts w:ascii="Times New Roman" w:hAnsi="Times New Roman"/>
          <w:b/>
          <w:sz w:val="22"/>
          <w:szCs w:val="22"/>
        </w:rPr>
        <w:t>-FCC-</w:t>
      </w:r>
    </w:p>
    <w:sectPr w:rsidR="00614DD1" w:rsidRPr="00186B77" w:rsidSect="00F06052">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AC619" w14:textId="77777777" w:rsidR="000B71A5" w:rsidRDefault="000B71A5">
      <w:r>
        <w:separator/>
      </w:r>
    </w:p>
  </w:endnote>
  <w:endnote w:type="continuationSeparator" w:id="0">
    <w:p w14:paraId="4612C8E7" w14:textId="77777777" w:rsidR="000B71A5" w:rsidRDefault="000B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A79F7" w14:textId="77777777" w:rsidR="00376239" w:rsidRDefault="00376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9589" w14:textId="77777777" w:rsidR="007602C0" w:rsidRPr="00A02D3B" w:rsidRDefault="007602C0">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5014BD">
      <w:rPr>
        <w:rFonts w:ascii="Times New Roman" w:hAnsi="Times New Roman"/>
        <w:noProof/>
        <w:sz w:val="20"/>
      </w:rPr>
      <w:t>2</w:t>
    </w:r>
    <w:r w:rsidRPr="00A02D3B">
      <w:rPr>
        <w:rFonts w:ascii="Times New Roman" w:hAnsi="Times New Roman"/>
        <w:sz w:val="20"/>
      </w:rPr>
      <w:fldChar w:fldCharType="end"/>
    </w:r>
  </w:p>
  <w:p w14:paraId="1FFA73ED" w14:textId="77777777" w:rsidR="007602C0" w:rsidRDefault="007602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0E4D" w14:textId="77777777" w:rsidR="00376239" w:rsidRDefault="00376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F1013" w14:textId="77777777" w:rsidR="000B71A5" w:rsidRDefault="000B71A5">
      <w:r>
        <w:separator/>
      </w:r>
    </w:p>
  </w:footnote>
  <w:footnote w:type="continuationSeparator" w:id="0">
    <w:p w14:paraId="5215A296" w14:textId="77777777" w:rsidR="000B71A5" w:rsidRDefault="000B71A5">
      <w:r>
        <w:continuationSeparator/>
      </w:r>
    </w:p>
  </w:footnote>
  <w:footnote w:id="1">
    <w:p w14:paraId="759CB7CE" w14:textId="77777777" w:rsidR="007602C0" w:rsidRDefault="007602C0" w:rsidP="00BA1C7D">
      <w:pPr>
        <w:pStyle w:val="FootnoteText"/>
        <w:spacing w:before="120" w:after="120"/>
      </w:pPr>
      <w:r w:rsidRPr="00FA0083">
        <w:rPr>
          <w:rStyle w:val="FootnoteReference"/>
          <w:sz w:val="20"/>
        </w:rPr>
        <w:footnoteRef/>
      </w:r>
      <w:r w:rsidRPr="00FA0083">
        <w:t xml:space="preserve"> </w:t>
      </w:r>
      <w:r w:rsidRPr="00FA0083">
        <w:rPr>
          <w:spacing w:val="-2"/>
        </w:rPr>
        <w:t xml:space="preserve">Expanding the Economic and Innovation Opportunities of Spectrum Through Incentive Auctions, </w:t>
      </w:r>
      <w:r w:rsidRPr="00FA0083">
        <w:rPr>
          <w:i/>
          <w:spacing w:val="-2"/>
        </w:rPr>
        <w:t>Notice of Proposed Rulemaking</w:t>
      </w:r>
      <w:r w:rsidRPr="00FA0083">
        <w:rPr>
          <w:spacing w:val="-2"/>
        </w:rPr>
        <w:t>, 27 FCC Rcd 12357 (2012) (</w:t>
      </w:r>
      <w:r w:rsidRPr="00FA0083">
        <w:rPr>
          <w:i/>
          <w:spacing w:val="-2"/>
        </w:rPr>
        <w:t>NPRM</w:t>
      </w:r>
      <w:r w:rsidRPr="00FA0083">
        <w:rPr>
          <w:spacing w:val="-2"/>
        </w:rPr>
        <w:t>).</w:t>
      </w:r>
      <w:r>
        <w:rPr>
          <w:spacing w:val="-2"/>
        </w:rPr>
        <w:t xml:space="preserve">  </w:t>
      </w:r>
      <w:r w:rsidRPr="00F12DC5">
        <w:rPr>
          <w:spacing w:val="-2"/>
        </w:rPr>
        <w:t xml:space="preserve">In response to the </w:t>
      </w:r>
      <w:r w:rsidRPr="00A77484">
        <w:rPr>
          <w:i/>
          <w:spacing w:val="-2"/>
        </w:rPr>
        <w:t>NPRM</w:t>
      </w:r>
      <w:r w:rsidRPr="00F12DC5">
        <w:rPr>
          <w:spacing w:val="-2"/>
        </w:rPr>
        <w:t xml:space="preserve">, over </w:t>
      </w:r>
      <w:r>
        <w:rPr>
          <w:spacing w:val="-2"/>
        </w:rPr>
        <w:t xml:space="preserve">400 interested parties filed comments. </w:t>
      </w:r>
      <w:r w:rsidRPr="0085356C">
        <w:rPr>
          <w:i/>
          <w:spacing w:val="-2"/>
        </w:rPr>
        <w:t>See</w:t>
      </w:r>
      <w:r>
        <w:rPr>
          <w:spacing w:val="-2"/>
        </w:rPr>
        <w:t xml:space="preserve"> GN Docket No. 12-268.</w:t>
      </w:r>
    </w:p>
  </w:footnote>
  <w:footnote w:id="2">
    <w:p w14:paraId="18444356" w14:textId="77777777" w:rsidR="007602C0" w:rsidRDefault="007602C0" w:rsidP="00BA1C7D">
      <w:pPr>
        <w:pStyle w:val="FootnoteText"/>
        <w:spacing w:before="120" w:after="120"/>
      </w:pPr>
      <w:r>
        <w:rPr>
          <w:rStyle w:val="FootnoteReference"/>
        </w:rPr>
        <w:footnoteRef/>
      </w:r>
      <w:r>
        <w:t xml:space="preserve"> </w:t>
      </w:r>
      <w:r w:rsidRPr="00FA0083">
        <w:rPr>
          <w:i/>
        </w:rPr>
        <w:t xml:space="preserve">NPRM, </w:t>
      </w:r>
      <w:r w:rsidRPr="00FA0083">
        <w:t xml:space="preserve">27 FCC Rcd at </w:t>
      </w:r>
      <w:r>
        <w:t>12401</w:t>
      </w:r>
      <w:r w:rsidR="00481437">
        <w:t>-02</w:t>
      </w:r>
      <w:r w:rsidRPr="00447D79">
        <w:t>,</w:t>
      </w:r>
      <w:r w:rsidRPr="00FA0083">
        <w:t xml:space="preserve"> para. </w:t>
      </w:r>
      <w:r>
        <w:t>125</w:t>
      </w:r>
      <w:r w:rsidRPr="00FA0083">
        <w:t>.</w:t>
      </w:r>
      <w:r w:rsidRPr="00A047A9">
        <w:t xml:space="preserve"> </w:t>
      </w:r>
      <w:r>
        <w:t xml:space="preserve"> </w:t>
      </w:r>
    </w:p>
  </w:footnote>
  <w:footnote w:id="3">
    <w:p w14:paraId="0DD80A7E" w14:textId="0F102DF5" w:rsidR="00121770" w:rsidRDefault="00121770" w:rsidP="00BA1C7D">
      <w:pPr>
        <w:pStyle w:val="FootnoteText"/>
        <w:spacing w:before="120" w:after="120"/>
      </w:pPr>
      <w:r>
        <w:rPr>
          <w:rStyle w:val="FootnoteReference"/>
        </w:rPr>
        <w:footnoteRef/>
      </w:r>
      <w:r>
        <w:t xml:space="preserve"> </w:t>
      </w:r>
      <w:r w:rsidRPr="00E046BA">
        <w:t>These include auctioning “generic” blocks rather than specific frequency blocks; licensing in five megahertz “building blocks;” offering blocks designated specifically for uplink and for downlink operations; establishing guard bands, where necessary; and prioritizing paired blocks wherever possible</w:t>
      </w:r>
      <w:r>
        <w:t>.</w:t>
      </w:r>
      <w:r w:rsidRPr="00E046BA">
        <w:t xml:space="preserve"> </w:t>
      </w:r>
      <w:r>
        <w:t>Federal Communications Commission Provides Additional Details about Workshop to Discuss the 600 MHz Band Plan, Public Notice, DA 13-799, at 1 (Apr. 19, 2013) (</w:t>
      </w:r>
      <w:r w:rsidRPr="00A77484">
        <w:rPr>
          <w:i/>
        </w:rPr>
        <w:t>600 MHz Band Plan Workshop Public Notice</w:t>
      </w:r>
      <w:r>
        <w:t>).</w:t>
      </w:r>
      <w:r w:rsidR="00A909DA" w:rsidRPr="00A909DA">
        <w:t xml:space="preserve"> </w:t>
      </w:r>
      <w:r w:rsidR="0088681E">
        <w:t xml:space="preserve"> </w:t>
      </w:r>
      <w:r w:rsidR="00A909DA" w:rsidRPr="00DD44D7">
        <w:rPr>
          <w:i/>
        </w:rPr>
        <w:t>See also,</w:t>
      </w:r>
      <w:r w:rsidR="00A909DA" w:rsidRPr="00A909DA">
        <w:t xml:space="preserve"> GN Docket No. 12-268.</w:t>
      </w:r>
    </w:p>
  </w:footnote>
  <w:footnote w:id="4">
    <w:p w14:paraId="34174BDB" w14:textId="77777777" w:rsidR="00BF5790" w:rsidRDefault="00BF5790" w:rsidP="00BA1C7D">
      <w:pPr>
        <w:pStyle w:val="FootnoteText"/>
        <w:spacing w:before="120" w:after="120"/>
      </w:pPr>
      <w:r>
        <w:rPr>
          <w:rStyle w:val="FootnoteReference"/>
        </w:rPr>
        <w:footnoteRef/>
      </w:r>
      <w:r>
        <w:t xml:space="preserve"> </w:t>
      </w:r>
      <w:r w:rsidRPr="001672CA">
        <w:rPr>
          <w:i/>
        </w:rPr>
        <w:t xml:space="preserve">600 MHz Band Plan Workshop </w:t>
      </w:r>
      <w:r w:rsidRPr="00941414">
        <w:rPr>
          <w:i/>
        </w:rPr>
        <w:t>Public Notice</w:t>
      </w:r>
      <w:r w:rsidDel="00293F9A">
        <w:t xml:space="preserve"> </w:t>
      </w:r>
      <w:r>
        <w:t>at 1.</w:t>
      </w:r>
    </w:p>
  </w:footnote>
  <w:footnote w:id="5">
    <w:p w14:paraId="7CC5E05B" w14:textId="6F2CFA87" w:rsidR="007602C0" w:rsidRDefault="007602C0" w:rsidP="00BA1C7D">
      <w:pPr>
        <w:pStyle w:val="FootnoteText"/>
        <w:spacing w:before="120" w:after="120"/>
      </w:pPr>
      <w:r>
        <w:rPr>
          <w:rStyle w:val="FootnoteReference"/>
        </w:rPr>
        <w:footnoteRef/>
      </w:r>
      <w:r>
        <w:t xml:space="preserve"> </w:t>
      </w:r>
      <w:r w:rsidR="005B5F38">
        <w:rPr>
          <w:i/>
        </w:rPr>
        <w:t>Id.</w:t>
      </w:r>
      <w:r w:rsidR="00293F9A" w:rsidDel="00293F9A">
        <w:t xml:space="preserve"> </w:t>
      </w:r>
      <w:r w:rsidR="00293F9A">
        <w:t>at 1</w:t>
      </w:r>
      <w:r w:rsidR="00680991">
        <w:t>-2</w:t>
      </w:r>
      <w:r w:rsidR="00293F9A">
        <w:t>.</w:t>
      </w:r>
    </w:p>
  </w:footnote>
  <w:footnote w:id="6">
    <w:p w14:paraId="4E3CEE0E" w14:textId="213E2660" w:rsidR="007602C0" w:rsidRDefault="007602C0" w:rsidP="00BA1C7D">
      <w:pPr>
        <w:pStyle w:val="FootnoteText"/>
        <w:spacing w:before="120" w:after="120"/>
      </w:pPr>
      <w:r>
        <w:rPr>
          <w:rStyle w:val="FootnoteReference"/>
        </w:rPr>
        <w:footnoteRef/>
      </w:r>
      <w:r>
        <w:t xml:space="preserve"> </w:t>
      </w:r>
      <w:r w:rsidR="00AC1C79">
        <w:t xml:space="preserve">A video of the </w:t>
      </w:r>
      <w:r w:rsidR="00D16150">
        <w:t>600 MHz Band P</w:t>
      </w:r>
      <w:r w:rsidR="00E23FF7">
        <w:t xml:space="preserve">lan </w:t>
      </w:r>
      <w:r w:rsidR="00AC1C79">
        <w:t xml:space="preserve">workshop </w:t>
      </w:r>
      <w:r w:rsidR="00E23FF7">
        <w:t>is available at:</w:t>
      </w:r>
      <w:r w:rsidR="00AC1C79">
        <w:t xml:space="preserve"> </w:t>
      </w:r>
      <w:hyperlink r:id="rId1" w:history="1">
        <w:r w:rsidR="00E23FF7" w:rsidRPr="005201D8">
          <w:rPr>
            <w:rStyle w:val="Hyperlink"/>
          </w:rPr>
          <w:t>www.fcc.gov/events/learn-workshop-600-mhz-band-plan</w:t>
        </w:r>
      </w:hyperlink>
      <w:r w:rsidR="00B771E1">
        <w:t>.</w:t>
      </w:r>
    </w:p>
  </w:footnote>
  <w:footnote w:id="7">
    <w:p w14:paraId="1285779D" w14:textId="3B05D3B9" w:rsidR="007602C0" w:rsidRDefault="007602C0" w:rsidP="00BA1C7D">
      <w:pPr>
        <w:pStyle w:val="FootnoteText"/>
        <w:spacing w:before="120" w:after="120"/>
      </w:pPr>
      <w:r>
        <w:rPr>
          <w:rStyle w:val="FootnoteReference"/>
        </w:rPr>
        <w:footnoteRef/>
      </w:r>
      <w:r>
        <w:t xml:space="preserve"> </w:t>
      </w:r>
      <w:r w:rsidR="00FC7220" w:rsidRPr="0089039B">
        <w:rPr>
          <w:i/>
        </w:rPr>
        <w:t>See, e.g.,</w:t>
      </w:r>
      <w:r w:rsidR="00FC7220">
        <w:t xml:space="preserve"> </w:t>
      </w:r>
      <w:r w:rsidR="00730BC7">
        <w:t xml:space="preserve">Letter from AT&amp;T Inc., National Association of Broadcasters, T-Mobile, Intel Corporation, Qualcomm, and Verizon Wireless to Gary Epstein and Ruth Milkman, FCC (Jan. 24, 2013); </w:t>
      </w:r>
      <w:r w:rsidR="00FC7220">
        <w:t>Comments of T-Mobile USA, Inc. at 10-13</w:t>
      </w:r>
      <w:r w:rsidR="00730BC7">
        <w:t xml:space="preserve">; Reply Comments of </w:t>
      </w:r>
      <w:r w:rsidR="0089039B">
        <w:t>Ericsson at 13-29</w:t>
      </w:r>
      <w:r w:rsidR="00FC7220">
        <w:t xml:space="preserve">. </w:t>
      </w:r>
      <w:r w:rsidR="00FC7220" w:rsidRPr="0089039B">
        <w:rPr>
          <w:i/>
        </w:rPr>
        <w:t>See also,</w:t>
      </w:r>
      <w:r w:rsidR="00FC7220">
        <w:t xml:space="preserve"> </w:t>
      </w:r>
      <w:r w:rsidRPr="00FA0083">
        <w:rPr>
          <w:i/>
        </w:rPr>
        <w:t xml:space="preserve">NPRM, </w:t>
      </w:r>
      <w:r w:rsidRPr="00FA0083">
        <w:t xml:space="preserve">27 FCC Rcd at </w:t>
      </w:r>
      <w:r>
        <w:t>12421</w:t>
      </w:r>
      <w:r w:rsidRPr="00447D79">
        <w:t>,</w:t>
      </w:r>
      <w:r w:rsidRPr="00FA0083">
        <w:t xml:space="preserve"> para. </w:t>
      </w:r>
      <w:r>
        <w:t>178</w:t>
      </w:r>
      <w:r w:rsidRPr="00FA0083">
        <w:t>.</w:t>
      </w:r>
      <w:r w:rsidRPr="00A047A9">
        <w:t xml:space="preserve"> </w:t>
      </w:r>
      <w:r>
        <w:t xml:space="preserve"> </w:t>
      </w:r>
      <w:r w:rsidRPr="00B95539">
        <w:t xml:space="preserve">Depending on the quantity of spectrum </w:t>
      </w:r>
      <w:r w:rsidR="00B771E1">
        <w:t>that is</w:t>
      </w:r>
      <w:r>
        <w:t xml:space="preserve"> repurpose</w:t>
      </w:r>
      <w:r w:rsidR="00B771E1">
        <w:t>d</w:t>
      </w:r>
      <w:r>
        <w:t>,</w:t>
      </w:r>
      <w:r w:rsidRPr="00B95539">
        <w:t xml:space="preserve"> the downlink band could be situ</w:t>
      </w:r>
      <w:r>
        <w:t>ated on both sides of channel 37 (assuming existing channel 37 operations remain on that channel)</w:t>
      </w:r>
      <w:r w:rsidRPr="00B95539">
        <w:t xml:space="preserve">.  </w:t>
      </w:r>
    </w:p>
  </w:footnote>
  <w:footnote w:id="8">
    <w:p w14:paraId="254A846C" w14:textId="77777777" w:rsidR="007602C0" w:rsidRDefault="007602C0" w:rsidP="00BA1C7D">
      <w:pPr>
        <w:pStyle w:val="FootnoteText"/>
        <w:spacing w:before="120" w:after="120"/>
      </w:pPr>
      <w:r>
        <w:rPr>
          <w:rStyle w:val="FootnoteReference"/>
        </w:rPr>
        <w:footnoteRef/>
      </w:r>
      <w:r>
        <w:t xml:space="preserve"> A number of </w:t>
      </w:r>
      <w:r w:rsidRPr="0094347C">
        <w:t xml:space="preserve">commenters </w:t>
      </w:r>
      <w:r>
        <w:t xml:space="preserve">assert </w:t>
      </w:r>
      <w:r w:rsidRPr="0094347C">
        <w:t>that putting high power services in the duplex gap will cause unnecessary and strong intermodulation products</w:t>
      </w:r>
      <w:r>
        <w:t>, which will result in</w:t>
      </w:r>
      <w:r w:rsidRPr="0001536F">
        <w:t xml:space="preserve"> significant interference</w:t>
      </w:r>
      <w:r>
        <w:t xml:space="preserve"> to mobile broadband </w:t>
      </w:r>
      <w:r w:rsidR="006E16AF">
        <w:t>units</w:t>
      </w:r>
      <w:r w:rsidR="006E16AF" w:rsidRPr="0094347C">
        <w:t>.</w:t>
      </w:r>
      <w:r w:rsidR="006E16AF" w:rsidRPr="003D093B">
        <w:rPr>
          <w:i/>
        </w:rPr>
        <w:t xml:space="preserve"> See</w:t>
      </w:r>
      <w:r w:rsidRPr="003D093B">
        <w:rPr>
          <w:i/>
        </w:rPr>
        <w:t>, e.g.,</w:t>
      </w:r>
      <w:r w:rsidRPr="0094347C">
        <w:t xml:space="preserve"> </w:t>
      </w:r>
      <w:r w:rsidR="00467411">
        <w:t xml:space="preserve">Comments of </w:t>
      </w:r>
      <w:r w:rsidRPr="0094347C">
        <w:t>Alcatel-Lucent at 14-16</w:t>
      </w:r>
      <w:r w:rsidR="00E5741D">
        <w:t>;</w:t>
      </w:r>
      <w:r w:rsidR="008855D0">
        <w:t xml:space="preserve"> Comments</w:t>
      </w:r>
      <w:r w:rsidR="00B102D3">
        <w:t xml:space="preserve"> of CTIA – The Wireless Association</w:t>
      </w:r>
      <w:r w:rsidR="008855D0">
        <w:t xml:space="preserve"> at 2</w:t>
      </w:r>
      <w:r w:rsidR="001355B9">
        <w:t>5, 28</w:t>
      </w:r>
      <w:r w:rsidRPr="0094347C">
        <w:t>.</w:t>
      </w:r>
    </w:p>
  </w:footnote>
  <w:footnote w:id="9">
    <w:p w14:paraId="36C6FA87" w14:textId="38132FFE" w:rsidR="007602C0" w:rsidRDefault="007602C0" w:rsidP="00BA1C7D">
      <w:pPr>
        <w:pStyle w:val="FootnoteText"/>
        <w:spacing w:before="120" w:after="120"/>
      </w:pPr>
      <w:r>
        <w:rPr>
          <w:rStyle w:val="FootnoteReference"/>
        </w:rPr>
        <w:footnoteRef/>
      </w:r>
      <w:r>
        <w:t xml:space="preserve"> Some c</w:t>
      </w:r>
      <w:r w:rsidRPr="00EE073D">
        <w:t xml:space="preserve">ommenters raise concerns that </w:t>
      </w:r>
      <w:r>
        <w:t>a large</w:t>
      </w:r>
      <w:r w:rsidRPr="00EE073D">
        <w:t xml:space="preserve"> duplex gap would increase the operating bandwidth the </w:t>
      </w:r>
      <w:r>
        <w:t xml:space="preserve">mobile </w:t>
      </w:r>
      <w:r w:rsidRPr="00EE073D">
        <w:t>antenna would have to cover</w:t>
      </w:r>
      <w:r>
        <w:t>, and</w:t>
      </w:r>
      <w:r w:rsidRPr="00EE073D">
        <w:t xml:space="preserve"> </w:t>
      </w:r>
      <w:r>
        <w:t xml:space="preserve">given </w:t>
      </w:r>
      <w:r w:rsidRPr="00EE073D">
        <w:t>current antenna design</w:t>
      </w:r>
      <w:r>
        <w:t>,</w:t>
      </w:r>
      <w:r w:rsidRPr="00EE073D">
        <w:t xml:space="preserve"> it</w:t>
      </w:r>
      <w:r>
        <w:t xml:space="preserve"> is</w:t>
      </w:r>
      <w:r w:rsidRPr="00EE073D">
        <w:t xml:space="preserve"> </w:t>
      </w:r>
      <w:r>
        <w:t>difficult</w:t>
      </w:r>
      <w:r w:rsidRPr="00EE073D">
        <w:t xml:space="preserve"> to cover such a large band with a single antenna</w:t>
      </w:r>
      <w:r w:rsidR="000D188A">
        <w:t xml:space="preserve"> in smaller smartphones</w:t>
      </w:r>
      <w:r w:rsidRPr="00EE073D">
        <w:t xml:space="preserve">. </w:t>
      </w:r>
      <w:r w:rsidRPr="00A77484">
        <w:rPr>
          <w:i/>
        </w:rPr>
        <w:t>See</w:t>
      </w:r>
      <w:r w:rsidR="002E6A4A">
        <w:rPr>
          <w:i/>
        </w:rPr>
        <w:t>,</w:t>
      </w:r>
      <w:r w:rsidRPr="00A77484">
        <w:rPr>
          <w:i/>
        </w:rPr>
        <w:t xml:space="preserve"> e.g.</w:t>
      </w:r>
      <w:r w:rsidR="002E6A4A">
        <w:rPr>
          <w:i/>
        </w:rPr>
        <w:t>,</w:t>
      </w:r>
      <w:r w:rsidRPr="00EE073D">
        <w:t xml:space="preserve"> </w:t>
      </w:r>
      <w:r w:rsidR="00463F08" w:rsidRPr="00EE073D">
        <w:t xml:space="preserve">Reply Comments </w:t>
      </w:r>
      <w:r w:rsidR="00463F08">
        <w:t xml:space="preserve">of </w:t>
      </w:r>
      <w:r w:rsidR="00916148">
        <w:t>Intel Corporation</w:t>
      </w:r>
      <w:r w:rsidRPr="00EE073D">
        <w:t xml:space="preserve"> at </w:t>
      </w:r>
      <w:r w:rsidR="00916148">
        <w:t>2</w:t>
      </w:r>
      <w:r w:rsidR="00463F08">
        <w:t>;</w:t>
      </w:r>
      <w:r w:rsidRPr="00EE073D">
        <w:t xml:space="preserve"> </w:t>
      </w:r>
      <w:r w:rsidR="00B102D3">
        <w:t xml:space="preserve">Comments of </w:t>
      </w:r>
      <w:r w:rsidR="00303828">
        <w:t xml:space="preserve">T-Mobile USA, Inc. </w:t>
      </w:r>
      <w:r w:rsidR="00B102D3">
        <w:t>at</w:t>
      </w:r>
      <w:r w:rsidR="00324FF7">
        <w:t xml:space="preserve"> 8</w:t>
      </w:r>
      <w:r w:rsidR="00303828">
        <w:t>-9</w:t>
      </w:r>
      <w:r w:rsidR="00324FF7">
        <w:t>.</w:t>
      </w:r>
      <w:r w:rsidRPr="00EE073D">
        <w:t xml:space="preserve">  The Down from 51 </w:t>
      </w:r>
      <w:r>
        <w:t xml:space="preserve">band </w:t>
      </w:r>
      <w:r w:rsidRPr="00EE073D">
        <w:t>plan framework narrows the duplex gap by reducing the space between the uplink and downlink bands</w:t>
      </w:r>
      <w:r>
        <w:t xml:space="preserve"> and thereby </w:t>
      </w:r>
      <w:r w:rsidR="006E16AF">
        <w:t xml:space="preserve">reducing </w:t>
      </w:r>
      <w:r>
        <w:t>the total operating bandwidth for a given amount of repurposed spectrum</w:t>
      </w:r>
      <w:r w:rsidRPr="00EE073D">
        <w:t>.</w:t>
      </w:r>
    </w:p>
  </w:footnote>
  <w:footnote w:id="10">
    <w:p w14:paraId="5B3F012A" w14:textId="72E2A690" w:rsidR="0046213E" w:rsidRDefault="0046213E">
      <w:pPr>
        <w:pStyle w:val="FootnoteText"/>
      </w:pPr>
      <w:r>
        <w:rPr>
          <w:rStyle w:val="FootnoteReference"/>
        </w:rPr>
        <w:footnoteRef/>
      </w:r>
      <w:r>
        <w:t xml:space="preserve"> </w:t>
      </w:r>
      <w:r>
        <w:rPr>
          <w:i/>
        </w:rPr>
        <w:t>See, e.g.</w:t>
      </w:r>
      <w:r>
        <w:t xml:space="preserve">, </w:t>
      </w:r>
      <w:r w:rsidR="000E0284">
        <w:t xml:space="preserve">Comments of AT&amp;T Inc. at Exh. A p. 29; </w:t>
      </w:r>
      <w:r w:rsidRPr="000E0284">
        <w:t>Comments of Qualcomm</w:t>
      </w:r>
      <w:r w:rsidR="000E0284" w:rsidRPr="00662837">
        <w:t xml:space="preserve"> Incorporated</w:t>
      </w:r>
      <w:r w:rsidRPr="000E0284">
        <w:t xml:space="preserve"> </w:t>
      </w:r>
      <w:r w:rsidR="000E0284" w:rsidRPr="000E0284">
        <w:t>at</w:t>
      </w:r>
      <w:r w:rsidR="000E0284">
        <w:t xml:space="preserve"> 16-20</w:t>
      </w:r>
      <w:r w:rsidR="00235831" w:rsidRPr="00235831">
        <w:t xml:space="preserve"> (accommodating variable uplink</w:t>
      </w:r>
      <w:r w:rsidR="00235831">
        <w:t xml:space="preserve"> spectrum</w:t>
      </w:r>
      <w:r w:rsidR="00235831" w:rsidRPr="00235831">
        <w:t xml:space="preserve"> in constrained markets only if there </w:t>
      </w:r>
      <w:r w:rsidR="00235831">
        <w:t xml:space="preserve">is a </w:t>
      </w:r>
      <w:r w:rsidR="00235831" w:rsidRPr="00235831">
        <w:t xml:space="preserve">sufficient </w:t>
      </w:r>
      <w:r w:rsidR="00235831">
        <w:t xml:space="preserve">number of </w:t>
      </w:r>
      <w:r w:rsidR="00235831" w:rsidRPr="00235831">
        <w:t>low power TV</w:t>
      </w:r>
      <w:r w:rsidR="00235831">
        <w:t xml:space="preserve"> stations</w:t>
      </w:r>
      <w:r w:rsidR="00235831" w:rsidRPr="00235831">
        <w:t xml:space="preserve"> </w:t>
      </w:r>
      <w:r w:rsidR="00235831">
        <w:t>to place in the duplex gap)</w:t>
      </w:r>
      <w:r w:rsidR="000E0284">
        <w:t xml:space="preserve">. </w:t>
      </w:r>
    </w:p>
  </w:footnote>
  <w:footnote w:id="11">
    <w:p w14:paraId="4BBB3782" w14:textId="77777777" w:rsidR="009E3265" w:rsidRDefault="009E3265" w:rsidP="00BA1C7D">
      <w:pPr>
        <w:pStyle w:val="FootnoteText"/>
        <w:spacing w:before="120" w:after="120"/>
      </w:pPr>
      <w:r>
        <w:rPr>
          <w:rStyle w:val="FootnoteReference"/>
        </w:rPr>
        <w:footnoteRef/>
      </w:r>
      <w:r>
        <w:t xml:space="preserve"> </w:t>
      </w:r>
      <w:r w:rsidR="00A909DA" w:rsidRPr="00BA1C7D">
        <w:rPr>
          <w:i/>
        </w:rPr>
        <w:t>NPRM</w:t>
      </w:r>
      <w:r w:rsidR="00A909DA" w:rsidRPr="00A909DA">
        <w:t xml:space="preserve">, 27 FCC Rcd at 12401, para. </w:t>
      </w:r>
      <w:r w:rsidR="00BA1C7D">
        <w:t>123-</w:t>
      </w:r>
      <w:r w:rsidR="00762B52">
        <w:t>124</w:t>
      </w:r>
      <w:r>
        <w:t>.</w:t>
      </w:r>
      <w:r w:rsidR="00200875">
        <w:t xml:space="preserve"> The Commission proposed to accommodate market variation by offering a consistent amount of downlink spectrum nationwide and allowing for variable uplink spectrum, and plac</w:t>
      </w:r>
      <w:r w:rsidR="003A6FDB">
        <w:t>ing</w:t>
      </w:r>
      <w:r w:rsidR="00200875">
        <w:t xml:space="preserve"> broadcast television stations in the duplex gap in more constrained markets. </w:t>
      </w:r>
      <w:r w:rsidR="00200875" w:rsidRPr="00E046BA">
        <w:rPr>
          <w:i/>
        </w:rPr>
        <w:t>See,</w:t>
      </w:r>
      <w:r w:rsidR="00200875">
        <w:t xml:space="preserve"> </w:t>
      </w:r>
      <w:r w:rsidR="00200875" w:rsidRPr="00CB3EC9">
        <w:rPr>
          <w:i/>
        </w:rPr>
        <w:t>NPRM</w:t>
      </w:r>
      <w:r w:rsidR="00200875">
        <w:t>, 27 FCC Rcd at 12406-09, paras. 136-143.</w:t>
      </w:r>
    </w:p>
  </w:footnote>
  <w:footnote w:id="12">
    <w:p w14:paraId="684D5E13" w14:textId="77777777" w:rsidR="00A10B24" w:rsidRDefault="00A10B24" w:rsidP="00BA1C7D">
      <w:pPr>
        <w:pStyle w:val="FootnoteText"/>
        <w:spacing w:before="120" w:after="120"/>
      </w:pPr>
      <w:r>
        <w:rPr>
          <w:rStyle w:val="FootnoteReference"/>
        </w:rPr>
        <w:footnoteRef/>
      </w:r>
      <w:r>
        <w:t xml:space="preserve"> </w:t>
      </w:r>
      <w:r>
        <w:rPr>
          <w:i/>
        </w:rPr>
        <w:t>See, e.g.</w:t>
      </w:r>
      <w:r>
        <w:t xml:space="preserve">, Comments of Competitive Carriers Association at 13; Comments of T-Mobile USA, Inc. at 5-6; Comments of Verizon and Verizon Wireless at 6. </w:t>
      </w:r>
    </w:p>
  </w:footnote>
  <w:footnote w:id="13">
    <w:p w14:paraId="7B1EF5A9" w14:textId="77777777" w:rsidR="007602C0" w:rsidRDefault="007602C0" w:rsidP="00BA1C7D">
      <w:pPr>
        <w:pStyle w:val="FootnoteText"/>
        <w:spacing w:before="120" w:after="120"/>
      </w:pPr>
      <w:r>
        <w:rPr>
          <w:rStyle w:val="FootnoteReference"/>
        </w:rPr>
        <w:footnoteRef/>
      </w:r>
      <w:r>
        <w:t xml:space="preserve"> </w:t>
      </w:r>
      <w:r w:rsidRPr="00A77484">
        <w:rPr>
          <w:i/>
        </w:rPr>
        <w:t>See</w:t>
      </w:r>
      <w:r w:rsidR="00AE07AC">
        <w:rPr>
          <w:i/>
        </w:rPr>
        <w:t>,</w:t>
      </w:r>
      <w:r w:rsidRPr="00A77484">
        <w:rPr>
          <w:i/>
        </w:rPr>
        <w:t xml:space="preserve"> e.g.</w:t>
      </w:r>
      <w:r w:rsidR="00AE07AC">
        <w:rPr>
          <w:i/>
        </w:rPr>
        <w:t>,</w:t>
      </w:r>
      <w:r>
        <w:t xml:space="preserve"> </w:t>
      </w:r>
      <w:r w:rsidR="007326A0">
        <w:t xml:space="preserve">Comments of </w:t>
      </w:r>
      <w:r w:rsidRPr="00C835C5">
        <w:t xml:space="preserve">Qualcomm </w:t>
      </w:r>
      <w:r>
        <w:t>Incorporated at 4-20.</w:t>
      </w:r>
    </w:p>
  </w:footnote>
  <w:footnote w:id="14">
    <w:p w14:paraId="07DE2E86" w14:textId="7DC62974" w:rsidR="009E5507" w:rsidRDefault="009E5507">
      <w:pPr>
        <w:pStyle w:val="FootnoteText"/>
      </w:pPr>
      <w:r>
        <w:rPr>
          <w:rStyle w:val="FootnoteReference"/>
        </w:rPr>
        <w:footnoteRef/>
      </w:r>
      <w:r>
        <w:t xml:space="preserve"> </w:t>
      </w:r>
      <w:r w:rsidRPr="00FA0083">
        <w:rPr>
          <w:i/>
        </w:rPr>
        <w:t xml:space="preserve">NPRM, </w:t>
      </w:r>
      <w:r w:rsidRPr="00FA0083">
        <w:t>27 FCC Rcd at</w:t>
      </w:r>
      <w:r>
        <w:t xml:space="preserve"> </w:t>
      </w:r>
      <w:r w:rsidRPr="008D29DF">
        <w:t>124</w:t>
      </w:r>
      <w:r>
        <w:t>01-12423</w:t>
      </w:r>
      <w:r w:rsidRPr="00447D79">
        <w:t>,</w:t>
      </w:r>
      <w:r w:rsidRPr="00FA0083">
        <w:t xml:space="preserve"> para</w:t>
      </w:r>
      <w:r>
        <w:t>s</w:t>
      </w:r>
      <w:r w:rsidRPr="00FA0083">
        <w:t xml:space="preserve">. </w:t>
      </w:r>
      <w:r>
        <w:t>123-184</w:t>
      </w:r>
      <w:r w:rsidRPr="00FA0083">
        <w:t>.</w:t>
      </w:r>
      <w:r w:rsidRPr="00A047A9">
        <w:t xml:space="preserve"> </w:t>
      </w:r>
      <w:r>
        <w:t xml:space="preserve"> </w:t>
      </w:r>
    </w:p>
  </w:footnote>
  <w:footnote w:id="15">
    <w:p w14:paraId="6A186FB3" w14:textId="094AAB46" w:rsidR="0088681E" w:rsidRDefault="0088681E" w:rsidP="0088681E">
      <w:pPr>
        <w:pStyle w:val="FootnoteText"/>
        <w:spacing w:before="120" w:after="120"/>
      </w:pPr>
      <w:r>
        <w:rPr>
          <w:rStyle w:val="FootnoteReference"/>
        </w:rPr>
        <w:footnoteRef/>
      </w:r>
      <w:r>
        <w:t xml:space="preserve"> </w:t>
      </w:r>
      <w:r w:rsidR="005B5F38">
        <w:rPr>
          <w:i/>
        </w:rPr>
        <w:t>Id.</w:t>
      </w:r>
      <w:r w:rsidR="005B5F38" w:rsidDel="00293F9A">
        <w:t xml:space="preserve"> </w:t>
      </w:r>
      <w:r w:rsidR="005B5F38">
        <w:t xml:space="preserve">at </w:t>
      </w:r>
      <w:r w:rsidRPr="008D29DF">
        <w:t>12420</w:t>
      </w:r>
      <w:r w:rsidRPr="00447D79">
        <w:t>,</w:t>
      </w:r>
      <w:r w:rsidRPr="00FA0083">
        <w:t xml:space="preserve"> para. </w:t>
      </w:r>
      <w:r>
        <w:t>177</w:t>
      </w:r>
      <w:r w:rsidRPr="00FA0083">
        <w:t>.</w:t>
      </w:r>
      <w:r w:rsidRPr="00A047A9">
        <w:t xml:space="preserve"> </w:t>
      </w:r>
      <w:r>
        <w:t xml:space="preserve"> </w:t>
      </w:r>
    </w:p>
  </w:footnote>
  <w:footnote w:id="16">
    <w:p w14:paraId="770BDDE1" w14:textId="6AA637A5" w:rsidR="009E5507" w:rsidRDefault="009E5507" w:rsidP="009E5507">
      <w:pPr>
        <w:pStyle w:val="FootnoteText"/>
        <w:spacing w:before="120" w:after="120"/>
      </w:pPr>
      <w:r>
        <w:rPr>
          <w:rStyle w:val="FootnoteReference"/>
        </w:rPr>
        <w:footnoteRef/>
      </w:r>
      <w:r>
        <w:t xml:space="preserve"> </w:t>
      </w:r>
      <w:r w:rsidR="005B5F38">
        <w:rPr>
          <w:i/>
        </w:rPr>
        <w:t>Id.</w:t>
      </w:r>
      <w:r w:rsidRPr="00A047A9">
        <w:t xml:space="preserve"> </w:t>
      </w:r>
      <w:r>
        <w:t xml:space="preserve"> </w:t>
      </w:r>
    </w:p>
  </w:footnote>
  <w:footnote w:id="17">
    <w:p w14:paraId="6DC350C6" w14:textId="317687C6" w:rsidR="00E046BA" w:rsidRDefault="00E046BA" w:rsidP="00BA1C7D">
      <w:pPr>
        <w:pStyle w:val="FootnoteText"/>
        <w:spacing w:before="120" w:after="120"/>
      </w:pPr>
      <w:r>
        <w:rPr>
          <w:rStyle w:val="FootnoteReference"/>
        </w:rPr>
        <w:footnoteRef/>
      </w:r>
      <w:r>
        <w:t xml:space="preserve"> </w:t>
      </w:r>
      <w:r w:rsidRPr="00E046BA">
        <w:rPr>
          <w:i/>
        </w:rPr>
        <w:t>See,</w:t>
      </w:r>
      <w:r>
        <w:t xml:space="preserve"> </w:t>
      </w:r>
      <w:r w:rsidRPr="00CB3EC9">
        <w:rPr>
          <w:i/>
        </w:rPr>
        <w:t>NPRM</w:t>
      </w:r>
      <w:r>
        <w:t>, 27 FCC Rcd at 12406-09, paras. 136-143.</w:t>
      </w:r>
      <w:r w:rsidR="00B94297" w:rsidRPr="00B94297">
        <w:t xml:space="preserve"> </w:t>
      </w:r>
      <w:r w:rsidR="00172317" w:rsidRPr="00172317">
        <w:t>We recognize that some commenters have concerns about accommodating market variation due to the potential for co-channel interference between wireless and broadcast TV operations spaced as close as 200</w:t>
      </w:r>
      <w:r w:rsidR="00F06050">
        <w:t xml:space="preserve"> </w:t>
      </w:r>
      <w:r w:rsidR="00172317" w:rsidRPr="00172317">
        <w:t xml:space="preserve">km apart. </w:t>
      </w:r>
      <w:r w:rsidR="00172317" w:rsidRPr="00D15231">
        <w:rPr>
          <w:i/>
        </w:rPr>
        <w:t>See, e.g.,</w:t>
      </w:r>
      <w:r w:rsidR="00172317" w:rsidRPr="00172317">
        <w:t xml:space="preserve"> Comments of National Association of Broadcasters at 39-45; Letter from Gordon H. Smith, National Association of Broadcasters, to Julius Genachowski, Chairman, FCC (May 10, 2</w:t>
      </w:r>
      <w:r w:rsidR="002C7052">
        <w:t>013), at p. 1-2</w:t>
      </w:r>
      <w:r w:rsidR="00172317" w:rsidRPr="00172317">
        <w:t xml:space="preserve">. </w:t>
      </w:r>
      <w:r w:rsidR="002C7052">
        <w:t xml:space="preserve"> </w:t>
      </w:r>
      <w:r w:rsidR="00172317" w:rsidRPr="00172317">
        <w:t xml:space="preserve">Nevertheless, </w:t>
      </w:r>
      <w:r w:rsidR="001F4AEA">
        <w:t xml:space="preserve">even assuming that 200 km is the appropriate separation distance, </w:t>
      </w:r>
      <w:r w:rsidR="00172317" w:rsidRPr="00172317">
        <w:t xml:space="preserve">we observe that the breadth of the continental United States is </w:t>
      </w:r>
      <w:r w:rsidR="00EA3AE7">
        <w:t>more than</w:t>
      </w:r>
      <w:r w:rsidR="00172317" w:rsidRPr="00172317">
        <w:t xml:space="preserve"> an order of magnitude </w:t>
      </w:r>
      <w:r w:rsidR="00EA3AE7">
        <w:t xml:space="preserve">larger </w:t>
      </w:r>
      <w:r w:rsidR="00172317" w:rsidRPr="00172317">
        <w:t>than those distances, which suggests that variable market clearing might still allow for substantially more spectrum to be made available in the incentive auction.</w:t>
      </w:r>
    </w:p>
  </w:footnote>
  <w:footnote w:id="18">
    <w:p w14:paraId="754C63BA" w14:textId="5B168780" w:rsidR="007B3170" w:rsidRDefault="007B3170">
      <w:pPr>
        <w:pStyle w:val="FootnoteText"/>
      </w:pPr>
      <w:r>
        <w:rPr>
          <w:rStyle w:val="FootnoteReference"/>
        </w:rPr>
        <w:footnoteRef/>
      </w:r>
      <w:r>
        <w:t xml:space="preserve"> </w:t>
      </w:r>
      <w:r w:rsidRPr="00BA1B13">
        <w:rPr>
          <w:i/>
        </w:rPr>
        <w:t>See</w:t>
      </w:r>
      <w:r>
        <w:t xml:space="preserve"> </w:t>
      </w:r>
      <w:r w:rsidRPr="00FA0083">
        <w:rPr>
          <w:i/>
        </w:rPr>
        <w:t xml:space="preserve">NPRM, </w:t>
      </w:r>
      <w:r w:rsidRPr="00FA0083">
        <w:t>27 FCC Rcd at</w:t>
      </w:r>
      <w:r>
        <w:t xml:space="preserve"> </w:t>
      </w:r>
      <w:r w:rsidRPr="008D29DF">
        <w:t>12420</w:t>
      </w:r>
      <w:r w:rsidRPr="00447D79">
        <w:t>,</w:t>
      </w:r>
      <w:r w:rsidRPr="00FA0083">
        <w:t xml:space="preserve"> para</w:t>
      </w:r>
      <w:r>
        <w:t>s</w:t>
      </w:r>
      <w:r w:rsidRPr="00FA0083">
        <w:t xml:space="preserve">. </w:t>
      </w:r>
      <w:r>
        <w:t>178-179.</w:t>
      </w:r>
    </w:p>
  </w:footnote>
  <w:footnote w:id="19">
    <w:p w14:paraId="78FEA9D9" w14:textId="77777777" w:rsidR="00D16150" w:rsidRDefault="00D16150" w:rsidP="00BA1C7D">
      <w:pPr>
        <w:pStyle w:val="FootnoteText"/>
        <w:spacing w:before="120" w:after="120"/>
      </w:pPr>
      <w:r>
        <w:rPr>
          <w:rStyle w:val="FootnoteReference"/>
        </w:rPr>
        <w:footnoteRef/>
      </w:r>
      <w:r>
        <w:t xml:space="preserve"> </w:t>
      </w:r>
      <w:r w:rsidRPr="00BE0FA0">
        <w:t>Because the lower 700 MHz band is being us</w:t>
      </w:r>
      <w:r>
        <w:t>ed for mobile uplink operations</w:t>
      </w:r>
      <w:r w:rsidRPr="00BE0FA0">
        <w:t xml:space="preserve"> while the upper 600 MHz band would be used for downlink operations</w:t>
      </w:r>
      <w:r>
        <w:t xml:space="preserve"> under this model</w:t>
      </w:r>
      <w:r w:rsidRPr="00BE0FA0">
        <w:t>,</w:t>
      </w:r>
      <w:r>
        <w:t xml:space="preserve"> we</w:t>
      </w:r>
      <w:r w:rsidRPr="00BE0FA0">
        <w:t xml:space="preserve"> </w:t>
      </w:r>
      <w:r>
        <w:t xml:space="preserve">must create a </w:t>
      </w:r>
      <w:r w:rsidRPr="00BE0FA0">
        <w:t xml:space="preserve">guard band </w:t>
      </w:r>
      <w:r>
        <w:t xml:space="preserve">between the two bands to protect against interference. </w:t>
      </w:r>
      <w:r w:rsidRPr="00A77484">
        <w:rPr>
          <w:i/>
        </w:rPr>
        <w:t>See</w:t>
      </w:r>
      <w:r>
        <w:rPr>
          <w:i/>
        </w:rPr>
        <w:t>,</w:t>
      </w:r>
      <w:r>
        <w:t xml:space="preserve"> </w:t>
      </w:r>
      <w:r w:rsidRPr="00CB3EC9">
        <w:rPr>
          <w:i/>
        </w:rPr>
        <w:t>NPRM</w:t>
      </w:r>
      <w:r>
        <w:t xml:space="preserve">, 27 FCC Rcd at 12425, para. 189 n.273. </w:t>
      </w:r>
    </w:p>
  </w:footnote>
  <w:footnote w:id="20">
    <w:p w14:paraId="5CC6D5A7" w14:textId="33CD5DB0" w:rsidR="007602C0" w:rsidRDefault="007602C0" w:rsidP="00BA1C7D">
      <w:pPr>
        <w:pStyle w:val="FootnoteText"/>
        <w:spacing w:before="120" w:after="120"/>
      </w:pPr>
      <w:r>
        <w:rPr>
          <w:rStyle w:val="FootnoteReference"/>
        </w:rPr>
        <w:footnoteRef/>
      </w:r>
      <w:r w:rsidR="00D001AD">
        <w:t xml:space="preserve"> </w:t>
      </w:r>
      <w:r w:rsidRPr="00A77484">
        <w:rPr>
          <w:i/>
        </w:rPr>
        <w:t>NPRM</w:t>
      </w:r>
      <w:r>
        <w:t>, 27 FCC Rcd at 12401</w:t>
      </w:r>
      <w:r w:rsidR="007B3170">
        <w:t>,</w:t>
      </w:r>
      <w:r>
        <w:t xml:space="preserve"> </w:t>
      </w:r>
      <w:r w:rsidRPr="003D093B">
        <w:t>para. 124</w:t>
      </w:r>
      <w:r>
        <w:t>.</w:t>
      </w:r>
      <w:r w:rsidRPr="003D093B">
        <w:t xml:space="preserve">  </w:t>
      </w:r>
    </w:p>
  </w:footnote>
  <w:footnote w:id="21">
    <w:p w14:paraId="52FF5031" w14:textId="73FBC9AD" w:rsidR="003761F2" w:rsidRDefault="003761F2" w:rsidP="00BA1C7D">
      <w:pPr>
        <w:pStyle w:val="FootnoteText"/>
        <w:spacing w:before="120" w:after="120"/>
      </w:pPr>
      <w:r>
        <w:rPr>
          <w:rStyle w:val="FootnoteReference"/>
        </w:rPr>
        <w:footnoteRef/>
      </w:r>
      <w:r>
        <w:t xml:space="preserve"> </w:t>
      </w:r>
      <w:r w:rsidR="00D001AD">
        <w:rPr>
          <w:i/>
        </w:rPr>
        <w:t>Id.</w:t>
      </w:r>
      <w:r w:rsidR="00D001AD" w:rsidDel="00293F9A">
        <w:t xml:space="preserve"> </w:t>
      </w:r>
      <w:r w:rsidR="00D001AD">
        <w:t xml:space="preserve">at </w:t>
      </w:r>
      <w:r>
        <w:t>12406-09, paras. 136-143.</w:t>
      </w:r>
    </w:p>
  </w:footnote>
  <w:footnote w:id="22">
    <w:p w14:paraId="27B4508D" w14:textId="266BDD07" w:rsidR="0046737F" w:rsidRDefault="0046737F" w:rsidP="00662837">
      <w:pPr>
        <w:pStyle w:val="FootnoteText"/>
        <w:tabs>
          <w:tab w:val="right" w:pos="10080"/>
        </w:tabs>
        <w:spacing w:before="120" w:after="120"/>
      </w:pPr>
      <w:r>
        <w:rPr>
          <w:rStyle w:val="FootnoteReference"/>
        </w:rPr>
        <w:footnoteRef/>
      </w:r>
      <w:r>
        <w:t xml:space="preserve"> </w:t>
      </w:r>
      <w:r w:rsidR="00D001AD">
        <w:rPr>
          <w:i/>
        </w:rPr>
        <w:t>Id.</w:t>
      </w:r>
      <w:r w:rsidR="00D001AD" w:rsidDel="00293F9A">
        <w:t xml:space="preserve"> </w:t>
      </w:r>
      <w:r w:rsidR="00D001AD">
        <w:t xml:space="preserve">at </w:t>
      </w:r>
      <w:r w:rsidR="00247FBF">
        <w:t>12401-02</w:t>
      </w:r>
      <w:r w:rsidR="00247FBF" w:rsidRPr="00447D79">
        <w:t>,</w:t>
      </w:r>
      <w:r w:rsidR="00247FBF" w:rsidRPr="00FA0083">
        <w:t xml:space="preserve"> para. </w:t>
      </w:r>
      <w:r w:rsidR="00247FBF">
        <w:t>125</w:t>
      </w:r>
      <w:r w:rsidR="00247FBF" w:rsidRPr="00FA0083">
        <w:t>.</w:t>
      </w:r>
      <w:r w:rsidR="00247FBF" w:rsidRPr="00A047A9">
        <w:t xml:space="preserve"> </w:t>
      </w:r>
      <w:r w:rsidR="00247FBF">
        <w:t xml:space="preserve"> </w:t>
      </w:r>
      <w:r w:rsidR="000E0284">
        <w:tab/>
      </w:r>
    </w:p>
  </w:footnote>
  <w:footnote w:id="23">
    <w:p w14:paraId="4B830884" w14:textId="77777777" w:rsidR="007602C0" w:rsidRDefault="007602C0" w:rsidP="00BA1C7D">
      <w:pPr>
        <w:pStyle w:val="FootnoteText"/>
        <w:spacing w:before="120" w:after="120"/>
      </w:pPr>
      <w:r>
        <w:rPr>
          <w:rStyle w:val="FootnoteReference"/>
        </w:rPr>
        <w:footnoteRef/>
      </w:r>
      <w:r>
        <w:t xml:space="preserve"> As discussed in the </w:t>
      </w:r>
      <w:r w:rsidRPr="00A77484">
        <w:rPr>
          <w:i/>
        </w:rPr>
        <w:t>NPRM</w:t>
      </w:r>
      <w:r>
        <w:t>, we note that the Spectrum Act requires that the “guard bands shall be no larger than is technically reasonable to prevent harmful interference between licensed services outside the guard bands.”</w:t>
      </w:r>
      <w:r w:rsidRPr="002F2BAA">
        <w:t xml:space="preserve"> </w:t>
      </w:r>
      <w:r w:rsidRPr="00CB3EC9">
        <w:rPr>
          <w:i/>
        </w:rPr>
        <w:t>NPRM</w:t>
      </w:r>
      <w:r>
        <w:t xml:space="preserve">, 27 FCC Rcd at </w:t>
      </w:r>
      <w:r w:rsidR="001A4A1B">
        <w:t>12412</w:t>
      </w:r>
      <w:r w:rsidR="00F7539D">
        <w:t>,</w:t>
      </w:r>
      <w:r w:rsidR="001A4A1B">
        <w:t xml:space="preserve"> </w:t>
      </w:r>
      <w:r>
        <w:t>para. 152</w:t>
      </w:r>
      <w:r w:rsidR="008D0F0F">
        <w:t xml:space="preserve"> </w:t>
      </w:r>
      <w:r w:rsidRPr="00A77484">
        <w:rPr>
          <w:i/>
        </w:rPr>
        <w:t>citing</w:t>
      </w:r>
      <w:r>
        <w:t xml:space="preserve"> </w:t>
      </w:r>
      <w:r w:rsidR="007326A0">
        <w:rPr>
          <w:color w:val="000000"/>
        </w:rPr>
        <w:t xml:space="preserve">Middle Class Tax Relief and Job Creation Act of 2012, Pub. L. No. 112-96, § </w:t>
      </w:r>
      <w:r w:rsidR="007326A0">
        <w:t>6407(b)</w:t>
      </w:r>
      <w:r w:rsidR="007326A0">
        <w:rPr>
          <w:color w:val="000000"/>
        </w:rPr>
        <w:t>, 125 Stat. 156 (2012)</w:t>
      </w:r>
      <w:r>
        <w:t>.</w:t>
      </w:r>
    </w:p>
  </w:footnote>
  <w:footnote w:id="24">
    <w:p w14:paraId="7CEA7AE1" w14:textId="77777777" w:rsidR="00755A2C" w:rsidRPr="0089750B" w:rsidRDefault="00755A2C" w:rsidP="00755A2C">
      <w:pPr>
        <w:pStyle w:val="FootnoteText"/>
        <w:spacing w:before="120" w:after="120"/>
      </w:pPr>
      <w:r>
        <w:rPr>
          <w:rStyle w:val="FootnoteReference"/>
        </w:rPr>
        <w:footnoteRef/>
      </w:r>
      <w:r w:rsidRPr="0089750B">
        <w:rPr>
          <w:i/>
        </w:rPr>
        <w:t>See, e.g.,</w:t>
      </w:r>
      <w:r w:rsidRPr="003B361A">
        <w:t xml:space="preserve"> Comments </w:t>
      </w:r>
      <w:r>
        <w:t xml:space="preserve">of </w:t>
      </w:r>
      <w:r w:rsidRPr="003B361A">
        <w:t xml:space="preserve">Philips Healthcare at </w:t>
      </w:r>
      <w:r>
        <w:t>4-</w:t>
      </w:r>
      <w:r w:rsidRPr="003B361A">
        <w:t xml:space="preserve">6. </w:t>
      </w:r>
      <w:r w:rsidRPr="00755A2C">
        <w:rPr>
          <w:i/>
        </w:rPr>
        <w:t>See also,</w:t>
      </w:r>
      <w:r>
        <w:rPr>
          <w:i/>
        </w:rPr>
        <w:t xml:space="preserve"> </w:t>
      </w:r>
      <w:r w:rsidR="00D15231">
        <w:t>47 CFR § 15.709(c)(4)</w:t>
      </w:r>
      <w:r>
        <w:t>.</w:t>
      </w:r>
    </w:p>
  </w:footnote>
  <w:footnote w:id="25">
    <w:p w14:paraId="4A78FC27" w14:textId="77777777" w:rsidR="003C677F" w:rsidRDefault="003C677F" w:rsidP="00BA1C7D">
      <w:pPr>
        <w:pStyle w:val="FootnoteText"/>
        <w:spacing w:before="120" w:after="120"/>
      </w:pPr>
      <w:r>
        <w:rPr>
          <w:rStyle w:val="FootnoteReference"/>
        </w:rPr>
        <w:footnoteRef/>
      </w:r>
      <w:r>
        <w:t xml:space="preserve"> </w:t>
      </w:r>
      <w:r w:rsidR="007E7DA0" w:rsidRPr="00DD44D7">
        <w:rPr>
          <w:i/>
        </w:rPr>
        <w:t>See, e.g.</w:t>
      </w:r>
      <w:r w:rsidR="007E7DA0">
        <w:t xml:space="preserve">, </w:t>
      </w:r>
      <w:r>
        <w:t xml:space="preserve">Letter from Trey Hanbury, Hogan Lovells, to Marlene Dortch, Secretary, FCC (Feb. 1, 2013), at Att. p. 14-17 (market variation with high power services </w:t>
      </w:r>
      <w:r w:rsidR="00D86562">
        <w:t>between the uplink and downlink bands</w:t>
      </w:r>
      <w:r>
        <w:t>)</w:t>
      </w:r>
      <w:r w:rsidR="00F66DFC">
        <w:t>.</w:t>
      </w:r>
    </w:p>
  </w:footnote>
  <w:footnote w:id="26">
    <w:p w14:paraId="1E6E4C19" w14:textId="77777777" w:rsidR="003761F2" w:rsidRDefault="003761F2" w:rsidP="00BA1C7D">
      <w:pPr>
        <w:pStyle w:val="FootnoteText"/>
        <w:spacing w:before="120" w:after="120"/>
      </w:pPr>
      <w:r>
        <w:rPr>
          <w:rStyle w:val="FootnoteReference"/>
        </w:rPr>
        <w:footnoteRef/>
      </w:r>
      <w:r>
        <w:t xml:space="preserve"> </w:t>
      </w:r>
      <w:r w:rsidRPr="003D093B">
        <w:rPr>
          <w:i/>
        </w:rPr>
        <w:t>See, e.g.,</w:t>
      </w:r>
      <w:r w:rsidRPr="0094347C">
        <w:t xml:space="preserve"> </w:t>
      </w:r>
      <w:r>
        <w:t xml:space="preserve">Comments of </w:t>
      </w:r>
      <w:r w:rsidRPr="0094347C">
        <w:t>Alcatel-Lucent at 14-16</w:t>
      </w:r>
      <w:r>
        <w:t>; Comments of CTIA – The Wireless Association at 25, 28</w:t>
      </w:r>
      <w:r w:rsidRPr="0094347C">
        <w:t>.</w:t>
      </w:r>
    </w:p>
  </w:footnote>
  <w:footnote w:id="27">
    <w:p w14:paraId="3359E584" w14:textId="77777777" w:rsidR="007B3170" w:rsidRDefault="007B3170" w:rsidP="007B3170">
      <w:pPr>
        <w:pStyle w:val="FootnoteText"/>
        <w:spacing w:before="120" w:after="120"/>
      </w:pPr>
      <w:r>
        <w:rPr>
          <w:rStyle w:val="FootnoteReference"/>
        </w:rPr>
        <w:footnoteRef/>
      </w:r>
      <w:r w:rsidRPr="007B3170">
        <w:t xml:space="preserve"> </w:t>
      </w:r>
      <w:r w:rsidRPr="00BA1B13">
        <w:rPr>
          <w:i/>
        </w:rPr>
        <w:t>See</w:t>
      </w:r>
      <w:r>
        <w:t xml:space="preserve"> </w:t>
      </w:r>
      <w:r w:rsidRPr="00FA0083">
        <w:rPr>
          <w:i/>
        </w:rPr>
        <w:t xml:space="preserve">NPRM, </w:t>
      </w:r>
      <w:r w:rsidRPr="00FA0083">
        <w:t>27 FCC Rcd at</w:t>
      </w:r>
      <w:r>
        <w:t xml:space="preserve"> </w:t>
      </w:r>
      <w:r w:rsidRPr="008D29DF">
        <w:t>1242</w:t>
      </w:r>
      <w:r>
        <w:t>3</w:t>
      </w:r>
      <w:r w:rsidRPr="00447D79">
        <w:t>,</w:t>
      </w:r>
      <w:r w:rsidRPr="00FA0083">
        <w:t xml:space="preserve"> para</w:t>
      </w:r>
      <w:r>
        <w:t>s</w:t>
      </w:r>
      <w:r w:rsidRPr="00FA0083">
        <w:t xml:space="preserve">. </w:t>
      </w:r>
      <w:r>
        <w:t>183-184</w:t>
      </w:r>
      <w:r w:rsidRPr="00FA0083">
        <w:t>.</w:t>
      </w:r>
      <w:r w:rsidRPr="00A047A9">
        <w:t xml:space="preserve"> </w:t>
      </w:r>
      <w:r>
        <w:t xml:space="preserve"> </w:t>
      </w:r>
    </w:p>
  </w:footnote>
  <w:footnote w:id="28">
    <w:p w14:paraId="086A0C17" w14:textId="77777777" w:rsidR="00084433" w:rsidRDefault="00084433" w:rsidP="00BA1C7D">
      <w:pPr>
        <w:pStyle w:val="FootnoteText"/>
        <w:spacing w:before="120" w:after="120"/>
      </w:pPr>
      <w:r>
        <w:rPr>
          <w:rStyle w:val="FootnoteReference"/>
        </w:rPr>
        <w:footnoteRef/>
      </w:r>
      <w:r>
        <w:t xml:space="preserve"> </w:t>
      </w:r>
      <w:r w:rsidRPr="00084433">
        <w:rPr>
          <w:i/>
        </w:rPr>
        <w:t>See</w:t>
      </w:r>
      <w:r>
        <w:t xml:space="preserve"> </w:t>
      </w:r>
      <w:r w:rsidR="004D6635">
        <w:t xml:space="preserve">Comments of </w:t>
      </w:r>
      <w:r>
        <w:t xml:space="preserve">Sprint </w:t>
      </w:r>
      <w:r w:rsidR="004D6635">
        <w:t xml:space="preserve">Nextel Corporation </w:t>
      </w:r>
      <w:r>
        <w:t xml:space="preserve">at </w:t>
      </w:r>
      <w:r w:rsidR="00703178" w:rsidRPr="00DD44D7">
        <w:t xml:space="preserve">22, </w:t>
      </w:r>
      <w:r w:rsidR="004D4C56">
        <w:t xml:space="preserve">Reply </w:t>
      </w:r>
      <w:r w:rsidR="004D4C56" w:rsidRPr="00B8049A">
        <w:t xml:space="preserve">Comments </w:t>
      </w:r>
      <w:r w:rsidR="004D4C56">
        <w:t xml:space="preserve">of </w:t>
      </w:r>
      <w:r w:rsidR="00703178" w:rsidRPr="00DD44D7">
        <w:t>Ericsson at 27-29</w:t>
      </w:r>
      <w:r w:rsidRPr="00DD44D7">
        <w:t xml:space="preserve">. </w:t>
      </w:r>
    </w:p>
  </w:footnote>
  <w:footnote w:id="29">
    <w:p w14:paraId="675E79E3" w14:textId="7E4A1FE3" w:rsidR="00446BB9" w:rsidRDefault="00446BB9" w:rsidP="00BA1C7D">
      <w:pPr>
        <w:pStyle w:val="FootnoteText"/>
        <w:spacing w:before="120" w:after="120"/>
      </w:pPr>
      <w:r>
        <w:rPr>
          <w:rStyle w:val="FootnoteReference"/>
        </w:rPr>
        <w:footnoteRef/>
      </w:r>
      <w:r>
        <w:t xml:space="preserve"> </w:t>
      </w:r>
      <w:r w:rsidR="00F06050" w:rsidRPr="0089750B">
        <w:rPr>
          <w:i/>
        </w:rPr>
        <w:t>See, e.g.,</w:t>
      </w:r>
      <w:r w:rsidR="00F06050" w:rsidRPr="003B361A">
        <w:t xml:space="preserve"> Comments </w:t>
      </w:r>
      <w:r w:rsidR="00F06050">
        <w:t xml:space="preserve">of </w:t>
      </w:r>
      <w:r w:rsidR="00F06050" w:rsidRPr="003B361A">
        <w:t xml:space="preserve">Philips Healthcare at </w:t>
      </w:r>
      <w:r w:rsidR="00F06050">
        <w:t>4-</w:t>
      </w:r>
      <w:r w:rsidR="00F06050" w:rsidRPr="003B361A">
        <w:t>6.</w:t>
      </w:r>
    </w:p>
  </w:footnote>
  <w:footnote w:id="30">
    <w:p w14:paraId="2E76E7C3" w14:textId="77777777" w:rsidR="00446BB9" w:rsidRDefault="00446BB9" w:rsidP="00BA1C7D">
      <w:pPr>
        <w:pStyle w:val="FootnoteText"/>
        <w:spacing w:before="120" w:after="120"/>
      </w:pPr>
      <w:r>
        <w:rPr>
          <w:rStyle w:val="FootnoteReference"/>
        </w:rPr>
        <w:footnoteRef/>
      </w:r>
      <w:r>
        <w:t xml:space="preserve"> </w:t>
      </w:r>
      <w:r w:rsidR="00703178" w:rsidRPr="00DD44D7">
        <w:rPr>
          <w:i/>
        </w:rPr>
        <w:t>See</w:t>
      </w:r>
      <w:r w:rsidR="004115D6">
        <w:rPr>
          <w:i/>
        </w:rPr>
        <w:t>,</w:t>
      </w:r>
      <w:r w:rsidR="00703178" w:rsidRPr="00DD44D7">
        <w:rPr>
          <w:i/>
        </w:rPr>
        <w:t xml:space="preserve"> e.g.</w:t>
      </w:r>
      <w:r w:rsidR="004115D6">
        <w:rPr>
          <w:i/>
        </w:rPr>
        <w:t>,</w:t>
      </w:r>
      <w:r w:rsidR="00703178">
        <w:t xml:space="preserve"> </w:t>
      </w:r>
      <w:r w:rsidR="00C80BD4">
        <w:t xml:space="preserve">Reply </w:t>
      </w:r>
      <w:r w:rsidR="00C80BD4" w:rsidRPr="00B8049A">
        <w:t xml:space="preserve">Comments </w:t>
      </w:r>
      <w:r w:rsidR="00C80BD4">
        <w:t xml:space="preserve">of </w:t>
      </w:r>
      <w:r w:rsidR="00C80BD4" w:rsidRPr="00B8049A">
        <w:t xml:space="preserve">Ericsson at </w:t>
      </w:r>
      <w:r w:rsidR="00703178">
        <w:t>29 (showing several filters being used to implement a TDD plan)</w:t>
      </w:r>
      <w:r w:rsidR="004115D6">
        <w:t>.</w:t>
      </w:r>
    </w:p>
  </w:footnote>
  <w:footnote w:id="31">
    <w:p w14:paraId="22A5E5B4" w14:textId="77777777" w:rsidR="007602C0" w:rsidRDefault="007602C0" w:rsidP="00BA1C7D">
      <w:pPr>
        <w:pStyle w:val="FootnoteText"/>
        <w:spacing w:before="120" w:after="120"/>
      </w:pPr>
      <w:r>
        <w:rPr>
          <w:rStyle w:val="FootnoteReference"/>
        </w:rPr>
        <w:footnoteRef/>
      </w:r>
      <w:r>
        <w:t xml:space="preserve"> </w:t>
      </w:r>
      <w:r w:rsidRPr="0078627B">
        <w:t xml:space="preserve">The </w:t>
      </w:r>
      <w:r w:rsidRPr="00A77484">
        <w:rPr>
          <w:i/>
        </w:rPr>
        <w:t>NPRM</w:t>
      </w:r>
      <w:r w:rsidRPr="0078627B">
        <w:t xml:space="preserve"> in this proceeding included an Initial Regulatory Flexibility Analysis (IRFA) pursuant to 5 U.S.C. § 603, exploring the potential impact of the Commission’s proposal on small entities. </w:t>
      </w:r>
      <w:r w:rsidRPr="00A77484">
        <w:rPr>
          <w:i/>
        </w:rPr>
        <w:t>NPRM</w:t>
      </w:r>
      <w:r>
        <w:t>, 27 FCC Rcd at 12523</w:t>
      </w:r>
      <w:r w:rsidR="0049554F">
        <w:t xml:space="preserve">-44. </w:t>
      </w:r>
      <w:r w:rsidRPr="0078627B">
        <w:t xml:space="preserve">The matters discussed in this notice do not modify in any way the IRFA we previously issued.   </w:t>
      </w:r>
    </w:p>
  </w:footnote>
  <w:footnote w:id="32">
    <w:p w14:paraId="5169F744" w14:textId="77777777" w:rsidR="007602C0" w:rsidRDefault="007602C0" w:rsidP="00BA1C7D">
      <w:pPr>
        <w:pStyle w:val="FootnoteText"/>
        <w:tabs>
          <w:tab w:val="left" w:pos="450"/>
        </w:tabs>
        <w:spacing w:before="120" w:after="120"/>
      </w:pPr>
      <w:r>
        <w:rPr>
          <w:rStyle w:val="FootnoteReference"/>
        </w:rPr>
        <w:footnoteRef/>
      </w:r>
      <w:r>
        <w:t xml:space="preserve"> </w:t>
      </w:r>
      <w:r>
        <w:rPr>
          <w:i/>
        </w:rPr>
        <w:t xml:space="preserve">See </w:t>
      </w:r>
      <w:r w:rsidRPr="00A77484">
        <w:t>Electronic Filing of Documents in Rulemaking Proceedings</w:t>
      </w:r>
      <w:r>
        <w:t xml:space="preserve">, GC Docket No. 97-113, </w:t>
      </w:r>
      <w:r w:rsidRPr="00A77484">
        <w:rPr>
          <w:i/>
        </w:rPr>
        <w:t>Report and Order</w:t>
      </w:r>
      <w:r>
        <w:t>, 13 FCC Rcd 11322 (1998).</w:t>
      </w:r>
    </w:p>
  </w:footnote>
  <w:footnote w:id="33">
    <w:p w14:paraId="693FD37A" w14:textId="77777777" w:rsidR="007602C0" w:rsidRDefault="007602C0" w:rsidP="00BA1C7D">
      <w:pPr>
        <w:pStyle w:val="FootnoteText"/>
        <w:spacing w:before="120" w:after="120"/>
      </w:pPr>
      <w:r>
        <w:rPr>
          <w:rStyle w:val="FootnoteReference"/>
        </w:rPr>
        <w:footnoteRef/>
      </w:r>
      <w:r>
        <w:t xml:space="preserve"> </w:t>
      </w:r>
      <w:r w:rsidR="009269DA" w:rsidRPr="00941414">
        <w:rPr>
          <w:i/>
        </w:rPr>
        <w:t>NPRM</w:t>
      </w:r>
      <w:r w:rsidR="009269DA">
        <w:t>, 27 FCC Rcd at 12494-95</w:t>
      </w:r>
      <w:r w:rsidR="00EA6188">
        <w:t>, paras. 416-417</w:t>
      </w:r>
      <w:r w:rsidR="009269DA">
        <w:t xml:space="preserve">; </w:t>
      </w:r>
      <w:r w:rsidR="009269DA" w:rsidRPr="00A77484">
        <w:rPr>
          <w:i/>
        </w:rPr>
        <w:t>see also</w:t>
      </w:r>
      <w:r w:rsidR="009269DA">
        <w:t>,</w:t>
      </w:r>
      <w:r>
        <w:t xml:space="preserve"> 47 C.F.R. § 1.1200 </w:t>
      </w:r>
      <w:r>
        <w:rPr>
          <w:i/>
        </w:rPr>
        <w:t xml:space="preserve">et seq. </w:t>
      </w:r>
    </w:p>
  </w:footnote>
  <w:footnote w:id="34">
    <w:p w14:paraId="50A0DF1D" w14:textId="77777777" w:rsidR="007602C0" w:rsidRDefault="007602C0" w:rsidP="00BA1C7D">
      <w:pPr>
        <w:pStyle w:val="FootnoteText"/>
        <w:spacing w:before="120" w:after="120"/>
      </w:pPr>
      <w:r>
        <w:rPr>
          <w:rStyle w:val="FootnoteReference"/>
        </w:rPr>
        <w:footnoteRef/>
      </w:r>
      <w:r>
        <w:t xml:space="preserve"> </w:t>
      </w:r>
      <w:r>
        <w:rPr>
          <w:i/>
        </w:rPr>
        <w:t>See</w:t>
      </w:r>
      <w:r>
        <w:t xml:space="preserve"> 47 C.F.R. § 1.1206(b)(2).</w:t>
      </w:r>
    </w:p>
  </w:footnote>
  <w:footnote w:id="35">
    <w:p w14:paraId="469C35AC" w14:textId="77777777" w:rsidR="007602C0" w:rsidRDefault="007602C0" w:rsidP="00BA1C7D">
      <w:pPr>
        <w:pStyle w:val="FootnoteText"/>
        <w:spacing w:before="120" w:after="120"/>
      </w:pPr>
      <w:r>
        <w:rPr>
          <w:rStyle w:val="FootnoteReference"/>
        </w:rPr>
        <w:footnoteRef/>
      </w:r>
      <w: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2F2A" w14:textId="77777777" w:rsidR="00376239" w:rsidRDefault="00376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1EDC" w14:textId="77777777" w:rsidR="00376239" w:rsidRDefault="00376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32C9" w14:textId="77777777" w:rsidR="007602C0" w:rsidRDefault="007602C0">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19CAA347" wp14:editId="0DE6982A">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1C4240E8" w14:textId="77777777" w:rsidR="007602C0" w:rsidRDefault="007602C0">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58240" behindDoc="0" locked="0" layoutInCell="0" allowOverlap="1" wp14:anchorId="62682DAA" wp14:editId="51ACCB9E">
              <wp:simplePos x="0" y="0"/>
              <wp:positionH relativeFrom="column">
                <wp:posOffset>3733165</wp:posOffset>
              </wp:positionH>
              <wp:positionV relativeFrom="paragraph">
                <wp:posOffset>96520</wp:posOffset>
              </wp:positionV>
              <wp:extent cx="2640965" cy="548640"/>
              <wp:effectExtent l="0" t="0" r="698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BFCD1" w14:textId="77777777" w:rsidR="007602C0" w:rsidRDefault="007602C0">
                          <w:pPr>
                            <w:spacing w:before="40"/>
                            <w:jc w:val="right"/>
                            <w:rPr>
                              <w:b/>
                              <w:sz w:val="16"/>
                            </w:rPr>
                          </w:pPr>
                          <w:r>
                            <w:rPr>
                              <w:b/>
                              <w:sz w:val="16"/>
                            </w:rPr>
                            <w:t>News Media Information 202 / 418-0500</w:t>
                          </w:r>
                        </w:p>
                        <w:p w14:paraId="4C3E875C" w14:textId="77777777" w:rsidR="007602C0" w:rsidRDefault="007602C0">
                          <w:pPr>
                            <w:jc w:val="right"/>
                            <w:rPr>
                              <w:b/>
                              <w:sz w:val="16"/>
                            </w:rPr>
                          </w:pPr>
                          <w:r>
                            <w:rPr>
                              <w:b/>
                              <w:sz w:val="16"/>
                            </w:rPr>
                            <w:tab/>
                            <w:t xml:space="preserve">Internet: </w:t>
                          </w:r>
                          <w:bookmarkStart w:id="1" w:name="_Hlt233824"/>
                          <w:r>
                            <w:rPr>
                              <w:b/>
                              <w:sz w:val="16"/>
                            </w:rPr>
                            <w:t>h</w:t>
                          </w:r>
                          <w:bookmarkEnd w:id="1"/>
                          <w:r>
                            <w:rPr>
                              <w:b/>
                              <w:sz w:val="16"/>
                            </w:rPr>
                            <w:t>ttp://www.fcc.gov</w:t>
                          </w:r>
                        </w:p>
                        <w:p w14:paraId="15DBBF6C" w14:textId="77777777" w:rsidR="007602C0" w:rsidRDefault="007602C0">
                          <w:pPr>
                            <w:jc w:val="right"/>
                            <w:rPr>
                              <w:b/>
                              <w:sz w:val="16"/>
                            </w:rPr>
                          </w:pPr>
                          <w:r>
                            <w:rPr>
                              <w:b/>
                              <w:sz w:val="16"/>
                            </w:rPr>
                            <w:t>TTY: 1-888-835-5322</w:t>
                          </w:r>
                        </w:p>
                        <w:p w14:paraId="2A4B5466" w14:textId="77777777" w:rsidR="007602C0" w:rsidRDefault="007602C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682DAA"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14:paraId="059BFCD1" w14:textId="77777777" w:rsidR="007602C0" w:rsidRDefault="007602C0">
                    <w:pPr>
                      <w:spacing w:before="40"/>
                      <w:jc w:val="right"/>
                      <w:rPr>
                        <w:b/>
                        <w:sz w:val="16"/>
                      </w:rPr>
                    </w:pPr>
                    <w:r>
                      <w:rPr>
                        <w:b/>
                        <w:sz w:val="16"/>
                      </w:rPr>
                      <w:t>News Media Information 202 / 418-0500</w:t>
                    </w:r>
                  </w:p>
                  <w:p w14:paraId="4C3E875C" w14:textId="77777777" w:rsidR="007602C0" w:rsidRDefault="007602C0">
                    <w:pPr>
                      <w:jc w:val="right"/>
                      <w:rPr>
                        <w:b/>
                        <w:sz w:val="16"/>
                      </w:rPr>
                    </w:pPr>
                    <w:r>
                      <w:rPr>
                        <w:b/>
                        <w:sz w:val="16"/>
                      </w:rPr>
                      <w:tab/>
                      <w:t xml:space="preserve">Internet: </w:t>
                    </w:r>
                    <w:bookmarkStart w:id="2" w:name="_Hlt233824"/>
                    <w:r>
                      <w:rPr>
                        <w:b/>
                        <w:sz w:val="16"/>
                      </w:rPr>
                      <w:t>h</w:t>
                    </w:r>
                    <w:bookmarkEnd w:id="2"/>
                    <w:r>
                      <w:rPr>
                        <w:b/>
                        <w:sz w:val="16"/>
                      </w:rPr>
                      <w:t>ttp://www.fcc.gov</w:t>
                    </w:r>
                  </w:p>
                  <w:p w14:paraId="15DBBF6C" w14:textId="77777777" w:rsidR="007602C0" w:rsidRDefault="007602C0">
                    <w:pPr>
                      <w:jc w:val="right"/>
                      <w:rPr>
                        <w:b/>
                        <w:sz w:val="16"/>
                      </w:rPr>
                    </w:pPr>
                    <w:r>
                      <w:rPr>
                        <w:b/>
                        <w:sz w:val="16"/>
                      </w:rPr>
                      <w:t>TTY: 1-888-835-5322</w:t>
                    </w:r>
                  </w:p>
                  <w:p w14:paraId="2A4B5466" w14:textId="77777777" w:rsidR="007602C0" w:rsidRDefault="007602C0">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6D0C45B6" wp14:editId="0ADB44BE">
              <wp:simplePos x="0" y="0"/>
              <wp:positionH relativeFrom="column">
                <wp:posOffset>0</wp:posOffset>
              </wp:positionH>
              <wp:positionV relativeFrom="paragraph">
                <wp:posOffset>5080</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8B958" w14:textId="77777777" w:rsidR="007602C0" w:rsidRDefault="007602C0">
                          <w:pPr>
                            <w:jc w:val="both"/>
                            <w:rPr>
                              <w:b/>
                            </w:rPr>
                          </w:pPr>
                          <w:r>
                            <w:rPr>
                              <w:b/>
                            </w:rPr>
                            <w:t>Federal Communications Commission</w:t>
                          </w:r>
                        </w:p>
                        <w:p w14:paraId="7B8B2FE5" w14:textId="77777777" w:rsidR="007602C0" w:rsidRDefault="007602C0">
                          <w:pPr>
                            <w:rPr>
                              <w:b/>
                            </w:rPr>
                          </w:pPr>
                          <w:r>
                            <w:rPr>
                              <w:b/>
                            </w:rPr>
                            <w:t>445 12</w:t>
                          </w:r>
                          <w:r>
                            <w:rPr>
                              <w:b/>
                              <w:vertAlign w:val="superscript"/>
                            </w:rPr>
                            <w:t>th</w:t>
                          </w:r>
                          <w:r>
                            <w:rPr>
                              <w:b/>
                            </w:rPr>
                            <w:t xml:space="preserve"> St., S.W.</w:t>
                          </w:r>
                        </w:p>
                        <w:p w14:paraId="25B9569C" w14:textId="77777777" w:rsidR="007602C0" w:rsidRDefault="007602C0">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C45B6" id="Text Box 3"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14:paraId="1C18B958" w14:textId="77777777" w:rsidR="007602C0" w:rsidRDefault="007602C0">
                    <w:pPr>
                      <w:jc w:val="both"/>
                      <w:rPr>
                        <w:b/>
                      </w:rPr>
                    </w:pPr>
                    <w:r>
                      <w:rPr>
                        <w:b/>
                      </w:rPr>
                      <w:t>Federal Communications Commission</w:t>
                    </w:r>
                  </w:p>
                  <w:p w14:paraId="7B8B2FE5" w14:textId="77777777" w:rsidR="007602C0" w:rsidRDefault="007602C0">
                    <w:pPr>
                      <w:rPr>
                        <w:b/>
                      </w:rPr>
                    </w:pPr>
                    <w:r>
                      <w:rPr>
                        <w:b/>
                      </w:rPr>
                      <w:t>445 12</w:t>
                    </w:r>
                    <w:r>
                      <w:rPr>
                        <w:b/>
                        <w:vertAlign w:val="superscript"/>
                      </w:rPr>
                      <w:t>th</w:t>
                    </w:r>
                    <w:r>
                      <w:rPr>
                        <w:b/>
                      </w:rPr>
                      <w:t xml:space="preserve"> St., S.W.</w:t>
                    </w:r>
                  </w:p>
                  <w:p w14:paraId="25B9569C" w14:textId="77777777" w:rsidR="007602C0" w:rsidRDefault="007602C0">
                    <w:r>
                      <w:rPr>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8E8D69D" wp14:editId="377DF13E">
              <wp:simplePos x="0" y="0"/>
              <wp:positionH relativeFrom="column">
                <wp:posOffset>0</wp:posOffset>
              </wp:positionH>
              <wp:positionV relativeFrom="paragraph">
                <wp:posOffset>697865</wp:posOffset>
              </wp:positionV>
              <wp:extent cx="685800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662DF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14:paraId="34C0CFBC" w14:textId="77777777" w:rsidR="007602C0" w:rsidRDefault="00760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5">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7">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1">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5"/>
  </w:num>
  <w:num w:numId="2">
    <w:abstractNumId w:val="9"/>
  </w:num>
  <w:num w:numId="3">
    <w:abstractNumId w:val="2"/>
  </w:num>
  <w:num w:numId="4">
    <w:abstractNumId w:val="12"/>
  </w:num>
  <w:num w:numId="5">
    <w:abstractNumId w:val="15"/>
  </w:num>
  <w:num w:numId="6">
    <w:abstractNumId w:val="6"/>
  </w:num>
  <w:num w:numId="7">
    <w:abstractNumId w:val="16"/>
  </w:num>
  <w:num w:numId="8">
    <w:abstractNumId w:val="18"/>
  </w:num>
  <w:num w:numId="9">
    <w:abstractNumId w:val="1"/>
  </w:num>
  <w:num w:numId="10">
    <w:abstractNumId w:val="13"/>
  </w:num>
  <w:num w:numId="11">
    <w:abstractNumId w:val="7"/>
  </w:num>
  <w:num w:numId="12">
    <w:abstractNumId w:val="3"/>
  </w:num>
  <w:num w:numId="13">
    <w:abstractNumId w:val="14"/>
  </w:num>
  <w:num w:numId="14">
    <w:abstractNumId w:val="4"/>
  </w:num>
  <w:num w:numId="15">
    <w:abstractNumId w:val="10"/>
  </w:num>
  <w:num w:numId="16">
    <w:abstractNumId w:val="0"/>
  </w:num>
  <w:num w:numId="17">
    <w:abstractNumId w:val="17"/>
  </w:num>
  <w:num w:numId="18">
    <w:abstractNumId w:val="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3158"/>
    <w:rsid w:val="00003A72"/>
    <w:rsid w:val="000041F5"/>
    <w:rsid w:val="0001536F"/>
    <w:rsid w:val="00016159"/>
    <w:rsid w:val="00025824"/>
    <w:rsid w:val="00025AF3"/>
    <w:rsid w:val="00026CA9"/>
    <w:rsid w:val="00031498"/>
    <w:rsid w:val="0003261B"/>
    <w:rsid w:val="000330A7"/>
    <w:rsid w:val="00036DBA"/>
    <w:rsid w:val="0004084B"/>
    <w:rsid w:val="00041901"/>
    <w:rsid w:val="00041C63"/>
    <w:rsid w:val="00041F17"/>
    <w:rsid w:val="000441B3"/>
    <w:rsid w:val="0004476F"/>
    <w:rsid w:val="000451E7"/>
    <w:rsid w:val="000635BF"/>
    <w:rsid w:val="00066C6E"/>
    <w:rsid w:val="00070524"/>
    <w:rsid w:val="00074270"/>
    <w:rsid w:val="000766C8"/>
    <w:rsid w:val="0007681E"/>
    <w:rsid w:val="0008210D"/>
    <w:rsid w:val="00084433"/>
    <w:rsid w:val="00085A50"/>
    <w:rsid w:val="00086AB6"/>
    <w:rsid w:val="00091A13"/>
    <w:rsid w:val="000929FA"/>
    <w:rsid w:val="000944A3"/>
    <w:rsid w:val="000946B6"/>
    <w:rsid w:val="000A0166"/>
    <w:rsid w:val="000A273B"/>
    <w:rsid w:val="000A2EB5"/>
    <w:rsid w:val="000A3EB1"/>
    <w:rsid w:val="000A51AC"/>
    <w:rsid w:val="000A54E2"/>
    <w:rsid w:val="000B25D6"/>
    <w:rsid w:val="000B50F4"/>
    <w:rsid w:val="000B71A5"/>
    <w:rsid w:val="000C3692"/>
    <w:rsid w:val="000C5403"/>
    <w:rsid w:val="000D14CF"/>
    <w:rsid w:val="000D188A"/>
    <w:rsid w:val="000D460F"/>
    <w:rsid w:val="000D76C0"/>
    <w:rsid w:val="000E0284"/>
    <w:rsid w:val="000E286A"/>
    <w:rsid w:val="000E43C8"/>
    <w:rsid w:val="000E68B9"/>
    <w:rsid w:val="000E704B"/>
    <w:rsid w:val="000F13BD"/>
    <w:rsid w:val="000F2420"/>
    <w:rsid w:val="000F242E"/>
    <w:rsid w:val="000F5922"/>
    <w:rsid w:val="000F7944"/>
    <w:rsid w:val="00105CFE"/>
    <w:rsid w:val="00107E01"/>
    <w:rsid w:val="00113662"/>
    <w:rsid w:val="00114F70"/>
    <w:rsid w:val="0011556C"/>
    <w:rsid w:val="00121770"/>
    <w:rsid w:val="00124B75"/>
    <w:rsid w:val="001322EC"/>
    <w:rsid w:val="00134E84"/>
    <w:rsid w:val="001355B9"/>
    <w:rsid w:val="0013636D"/>
    <w:rsid w:val="00137776"/>
    <w:rsid w:val="00140F89"/>
    <w:rsid w:val="00143921"/>
    <w:rsid w:val="00143D89"/>
    <w:rsid w:val="00145785"/>
    <w:rsid w:val="001573F1"/>
    <w:rsid w:val="00160CB0"/>
    <w:rsid w:val="001628A9"/>
    <w:rsid w:val="00172317"/>
    <w:rsid w:val="00175F74"/>
    <w:rsid w:val="00181189"/>
    <w:rsid w:val="0018236C"/>
    <w:rsid w:val="0018414C"/>
    <w:rsid w:val="00186497"/>
    <w:rsid w:val="00186B77"/>
    <w:rsid w:val="00186CAE"/>
    <w:rsid w:val="00191D2C"/>
    <w:rsid w:val="00196686"/>
    <w:rsid w:val="001A092A"/>
    <w:rsid w:val="001A1700"/>
    <w:rsid w:val="001A4A1B"/>
    <w:rsid w:val="001A74F1"/>
    <w:rsid w:val="001B5A36"/>
    <w:rsid w:val="001C1965"/>
    <w:rsid w:val="001C3090"/>
    <w:rsid w:val="001C3905"/>
    <w:rsid w:val="001D560D"/>
    <w:rsid w:val="001D5D85"/>
    <w:rsid w:val="001D6963"/>
    <w:rsid w:val="001E3E4A"/>
    <w:rsid w:val="001E49D2"/>
    <w:rsid w:val="001E4B94"/>
    <w:rsid w:val="001E4F50"/>
    <w:rsid w:val="001E60AE"/>
    <w:rsid w:val="001F41A4"/>
    <w:rsid w:val="001F4A48"/>
    <w:rsid w:val="001F4AEA"/>
    <w:rsid w:val="001F4B3D"/>
    <w:rsid w:val="001F7585"/>
    <w:rsid w:val="00200661"/>
    <w:rsid w:val="00200875"/>
    <w:rsid w:val="00204C42"/>
    <w:rsid w:val="00210F28"/>
    <w:rsid w:val="002117A9"/>
    <w:rsid w:val="002245AC"/>
    <w:rsid w:val="0023022E"/>
    <w:rsid w:val="002341CB"/>
    <w:rsid w:val="00235831"/>
    <w:rsid w:val="00242F63"/>
    <w:rsid w:val="00247FBF"/>
    <w:rsid w:val="0025221D"/>
    <w:rsid w:val="00253C66"/>
    <w:rsid w:val="00255763"/>
    <w:rsid w:val="00255CB7"/>
    <w:rsid w:val="00257602"/>
    <w:rsid w:val="002626F1"/>
    <w:rsid w:val="00264590"/>
    <w:rsid w:val="00264D39"/>
    <w:rsid w:val="00266FA9"/>
    <w:rsid w:val="00270ADD"/>
    <w:rsid w:val="00270B94"/>
    <w:rsid w:val="00271176"/>
    <w:rsid w:val="00274D43"/>
    <w:rsid w:val="00275C4A"/>
    <w:rsid w:val="00276182"/>
    <w:rsid w:val="0027718C"/>
    <w:rsid w:val="002805A5"/>
    <w:rsid w:val="0028557E"/>
    <w:rsid w:val="00286E98"/>
    <w:rsid w:val="00290E8E"/>
    <w:rsid w:val="00292C7D"/>
    <w:rsid w:val="00292F02"/>
    <w:rsid w:val="00293E9B"/>
    <w:rsid w:val="00293F9A"/>
    <w:rsid w:val="002949E7"/>
    <w:rsid w:val="002961A3"/>
    <w:rsid w:val="00296220"/>
    <w:rsid w:val="00296818"/>
    <w:rsid w:val="00296D88"/>
    <w:rsid w:val="00296EF9"/>
    <w:rsid w:val="002A16BF"/>
    <w:rsid w:val="002A21FA"/>
    <w:rsid w:val="002A2D63"/>
    <w:rsid w:val="002A31CD"/>
    <w:rsid w:val="002A47EF"/>
    <w:rsid w:val="002A6CFE"/>
    <w:rsid w:val="002B031C"/>
    <w:rsid w:val="002B1ED3"/>
    <w:rsid w:val="002B22D1"/>
    <w:rsid w:val="002B308B"/>
    <w:rsid w:val="002C0548"/>
    <w:rsid w:val="002C32C6"/>
    <w:rsid w:val="002C7052"/>
    <w:rsid w:val="002D05AD"/>
    <w:rsid w:val="002D1FC0"/>
    <w:rsid w:val="002D4C20"/>
    <w:rsid w:val="002D77B5"/>
    <w:rsid w:val="002E0131"/>
    <w:rsid w:val="002E074D"/>
    <w:rsid w:val="002E1F85"/>
    <w:rsid w:val="002E4911"/>
    <w:rsid w:val="002E4CBF"/>
    <w:rsid w:val="002E6A4A"/>
    <w:rsid w:val="002F1CE2"/>
    <w:rsid w:val="002F2BAA"/>
    <w:rsid w:val="002F48F5"/>
    <w:rsid w:val="0030080E"/>
    <w:rsid w:val="003016C5"/>
    <w:rsid w:val="00303828"/>
    <w:rsid w:val="00305010"/>
    <w:rsid w:val="0030540C"/>
    <w:rsid w:val="0030683C"/>
    <w:rsid w:val="00310320"/>
    <w:rsid w:val="00313A4C"/>
    <w:rsid w:val="00320581"/>
    <w:rsid w:val="0032146B"/>
    <w:rsid w:val="00323079"/>
    <w:rsid w:val="003230BA"/>
    <w:rsid w:val="00323B64"/>
    <w:rsid w:val="00324832"/>
    <w:rsid w:val="00324D28"/>
    <w:rsid w:val="00324FF7"/>
    <w:rsid w:val="00330CF7"/>
    <w:rsid w:val="00332DC1"/>
    <w:rsid w:val="00333B46"/>
    <w:rsid w:val="00334128"/>
    <w:rsid w:val="0033431A"/>
    <w:rsid w:val="0033450F"/>
    <w:rsid w:val="00334919"/>
    <w:rsid w:val="00335FFE"/>
    <w:rsid w:val="00336008"/>
    <w:rsid w:val="003405F3"/>
    <w:rsid w:val="0034232B"/>
    <w:rsid w:val="003477AE"/>
    <w:rsid w:val="0035031B"/>
    <w:rsid w:val="00351187"/>
    <w:rsid w:val="00353874"/>
    <w:rsid w:val="0035389A"/>
    <w:rsid w:val="00355D3D"/>
    <w:rsid w:val="00360A3E"/>
    <w:rsid w:val="003761F2"/>
    <w:rsid w:val="00376239"/>
    <w:rsid w:val="003807F8"/>
    <w:rsid w:val="00380C17"/>
    <w:rsid w:val="00381A78"/>
    <w:rsid w:val="00381EE8"/>
    <w:rsid w:val="003833A5"/>
    <w:rsid w:val="00383D30"/>
    <w:rsid w:val="00384B70"/>
    <w:rsid w:val="00392222"/>
    <w:rsid w:val="0039240A"/>
    <w:rsid w:val="00393004"/>
    <w:rsid w:val="003936CE"/>
    <w:rsid w:val="00394BF1"/>
    <w:rsid w:val="003A1F53"/>
    <w:rsid w:val="003A68F7"/>
    <w:rsid w:val="003A6FDB"/>
    <w:rsid w:val="003B3536"/>
    <w:rsid w:val="003B361A"/>
    <w:rsid w:val="003B53F4"/>
    <w:rsid w:val="003C1606"/>
    <w:rsid w:val="003C16D9"/>
    <w:rsid w:val="003C4BB4"/>
    <w:rsid w:val="003C5358"/>
    <w:rsid w:val="003C677F"/>
    <w:rsid w:val="003C7D95"/>
    <w:rsid w:val="003D093B"/>
    <w:rsid w:val="003D498B"/>
    <w:rsid w:val="003D60E8"/>
    <w:rsid w:val="003D7B57"/>
    <w:rsid w:val="003E0713"/>
    <w:rsid w:val="003E107D"/>
    <w:rsid w:val="003E2733"/>
    <w:rsid w:val="003E324E"/>
    <w:rsid w:val="003E37BA"/>
    <w:rsid w:val="003E512C"/>
    <w:rsid w:val="003E5352"/>
    <w:rsid w:val="003E7889"/>
    <w:rsid w:val="003F3B4E"/>
    <w:rsid w:val="003F62A7"/>
    <w:rsid w:val="004001B1"/>
    <w:rsid w:val="00400812"/>
    <w:rsid w:val="00401DFE"/>
    <w:rsid w:val="0040278C"/>
    <w:rsid w:val="0040331F"/>
    <w:rsid w:val="0040654B"/>
    <w:rsid w:val="00406B5A"/>
    <w:rsid w:val="004115D6"/>
    <w:rsid w:val="00412769"/>
    <w:rsid w:val="00413FE1"/>
    <w:rsid w:val="00415315"/>
    <w:rsid w:val="00416F32"/>
    <w:rsid w:val="00417FD8"/>
    <w:rsid w:val="00420DE2"/>
    <w:rsid w:val="00420EAB"/>
    <w:rsid w:val="00424B03"/>
    <w:rsid w:val="00425AE7"/>
    <w:rsid w:val="00426E49"/>
    <w:rsid w:val="00427485"/>
    <w:rsid w:val="00427E75"/>
    <w:rsid w:val="00431EF3"/>
    <w:rsid w:val="00435030"/>
    <w:rsid w:val="00436DEC"/>
    <w:rsid w:val="00442B7D"/>
    <w:rsid w:val="00444625"/>
    <w:rsid w:val="00444ECE"/>
    <w:rsid w:val="00445F85"/>
    <w:rsid w:val="004466DC"/>
    <w:rsid w:val="00446BB9"/>
    <w:rsid w:val="00447210"/>
    <w:rsid w:val="004475AD"/>
    <w:rsid w:val="00447D79"/>
    <w:rsid w:val="004507CE"/>
    <w:rsid w:val="00460FFD"/>
    <w:rsid w:val="0046213E"/>
    <w:rsid w:val="00463AE3"/>
    <w:rsid w:val="00463F08"/>
    <w:rsid w:val="0046737F"/>
    <w:rsid w:val="00467411"/>
    <w:rsid w:val="0047122E"/>
    <w:rsid w:val="00474EFA"/>
    <w:rsid w:val="00476E3D"/>
    <w:rsid w:val="00477396"/>
    <w:rsid w:val="00480667"/>
    <w:rsid w:val="00480FF4"/>
    <w:rsid w:val="00481437"/>
    <w:rsid w:val="0048161F"/>
    <w:rsid w:val="004839D9"/>
    <w:rsid w:val="004866DF"/>
    <w:rsid w:val="00486CBB"/>
    <w:rsid w:val="00487F3F"/>
    <w:rsid w:val="004930E7"/>
    <w:rsid w:val="0049554F"/>
    <w:rsid w:val="00496938"/>
    <w:rsid w:val="004A0B8F"/>
    <w:rsid w:val="004A364F"/>
    <w:rsid w:val="004A7370"/>
    <w:rsid w:val="004B004D"/>
    <w:rsid w:val="004B01B1"/>
    <w:rsid w:val="004B11A0"/>
    <w:rsid w:val="004B24E2"/>
    <w:rsid w:val="004B4C8B"/>
    <w:rsid w:val="004B5E07"/>
    <w:rsid w:val="004C34D2"/>
    <w:rsid w:val="004C5A3D"/>
    <w:rsid w:val="004C617D"/>
    <w:rsid w:val="004D2D20"/>
    <w:rsid w:val="004D3725"/>
    <w:rsid w:val="004D4C56"/>
    <w:rsid w:val="004D6635"/>
    <w:rsid w:val="004E21BB"/>
    <w:rsid w:val="004E5BC8"/>
    <w:rsid w:val="004F5997"/>
    <w:rsid w:val="004F5FC0"/>
    <w:rsid w:val="004F74C7"/>
    <w:rsid w:val="005014BD"/>
    <w:rsid w:val="00501650"/>
    <w:rsid w:val="00501A46"/>
    <w:rsid w:val="00501D29"/>
    <w:rsid w:val="00504DD4"/>
    <w:rsid w:val="005064BC"/>
    <w:rsid w:val="00506B3D"/>
    <w:rsid w:val="005102D6"/>
    <w:rsid w:val="005157DC"/>
    <w:rsid w:val="00521B9B"/>
    <w:rsid w:val="00532D9F"/>
    <w:rsid w:val="00532F1B"/>
    <w:rsid w:val="005424BA"/>
    <w:rsid w:val="00545045"/>
    <w:rsid w:val="005462A6"/>
    <w:rsid w:val="00546E3A"/>
    <w:rsid w:val="005473A6"/>
    <w:rsid w:val="005510A6"/>
    <w:rsid w:val="00551537"/>
    <w:rsid w:val="00552E6D"/>
    <w:rsid w:val="0055576A"/>
    <w:rsid w:val="00567A8B"/>
    <w:rsid w:val="005739BC"/>
    <w:rsid w:val="0057589D"/>
    <w:rsid w:val="00576FEE"/>
    <w:rsid w:val="005779AD"/>
    <w:rsid w:val="005817AC"/>
    <w:rsid w:val="00585733"/>
    <w:rsid w:val="00590D69"/>
    <w:rsid w:val="00591F65"/>
    <w:rsid w:val="005923B1"/>
    <w:rsid w:val="00593748"/>
    <w:rsid w:val="005A0B7E"/>
    <w:rsid w:val="005A0DE8"/>
    <w:rsid w:val="005A1FCF"/>
    <w:rsid w:val="005A2264"/>
    <w:rsid w:val="005A2686"/>
    <w:rsid w:val="005A2F0B"/>
    <w:rsid w:val="005B0002"/>
    <w:rsid w:val="005B176D"/>
    <w:rsid w:val="005B5F38"/>
    <w:rsid w:val="005C314F"/>
    <w:rsid w:val="005C3ED1"/>
    <w:rsid w:val="005C51C8"/>
    <w:rsid w:val="005C554B"/>
    <w:rsid w:val="005C77CA"/>
    <w:rsid w:val="005D04C2"/>
    <w:rsid w:val="005D3B94"/>
    <w:rsid w:val="005D4A5E"/>
    <w:rsid w:val="005D4F17"/>
    <w:rsid w:val="005D6ECC"/>
    <w:rsid w:val="005D6FE6"/>
    <w:rsid w:val="005D74F6"/>
    <w:rsid w:val="005D783B"/>
    <w:rsid w:val="005E066C"/>
    <w:rsid w:val="005E1008"/>
    <w:rsid w:val="005E2F8D"/>
    <w:rsid w:val="005E417A"/>
    <w:rsid w:val="005E4D02"/>
    <w:rsid w:val="005E63B9"/>
    <w:rsid w:val="005F1184"/>
    <w:rsid w:val="005F1515"/>
    <w:rsid w:val="005F1E3D"/>
    <w:rsid w:val="005F260F"/>
    <w:rsid w:val="00603755"/>
    <w:rsid w:val="006037EF"/>
    <w:rsid w:val="006052CB"/>
    <w:rsid w:val="00613C4A"/>
    <w:rsid w:val="00614153"/>
    <w:rsid w:val="00614CAB"/>
    <w:rsid w:val="00614DD1"/>
    <w:rsid w:val="00620A97"/>
    <w:rsid w:val="006217DC"/>
    <w:rsid w:val="0062678C"/>
    <w:rsid w:val="0063038D"/>
    <w:rsid w:val="00630A5B"/>
    <w:rsid w:val="00634472"/>
    <w:rsid w:val="00637AE4"/>
    <w:rsid w:val="00643A3C"/>
    <w:rsid w:val="00647A61"/>
    <w:rsid w:val="00647FE4"/>
    <w:rsid w:val="0065535C"/>
    <w:rsid w:val="00656004"/>
    <w:rsid w:val="006578B7"/>
    <w:rsid w:val="00660286"/>
    <w:rsid w:val="00661E3B"/>
    <w:rsid w:val="00662837"/>
    <w:rsid w:val="006650F6"/>
    <w:rsid w:val="006679CB"/>
    <w:rsid w:val="00670DB8"/>
    <w:rsid w:val="006744D4"/>
    <w:rsid w:val="00675DB1"/>
    <w:rsid w:val="006776FB"/>
    <w:rsid w:val="0068038A"/>
    <w:rsid w:val="00680991"/>
    <w:rsid w:val="00683D95"/>
    <w:rsid w:val="00685C07"/>
    <w:rsid w:val="0068703E"/>
    <w:rsid w:val="00690749"/>
    <w:rsid w:val="00691FD0"/>
    <w:rsid w:val="00692A9D"/>
    <w:rsid w:val="00696EB1"/>
    <w:rsid w:val="006A1230"/>
    <w:rsid w:val="006A2468"/>
    <w:rsid w:val="006A2C04"/>
    <w:rsid w:val="006A2FEC"/>
    <w:rsid w:val="006A3793"/>
    <w:rsid w:val="006A646D"/>
    <w:rsid w:val="006A74BA"/>
    <w:rsid w:val="006B0E1B"/>
    <w:rsid w:val="006B58A7"/>
    <w:rsid w:val="006B65D5"/>
    <w:rsid w:val="006C027B"/>
    <w:rsid w:val="006C20F2"/>
    <w:rsid w:val="006C691D"/>
    <w:rsid w:val="006D2030"/>
    <w:rsid w:val="006D39D5"/>
    <w:rsid w:val="006D466A"/>
    <w:rsid w:val="006D561D"/>
    <w:rsid w:val="006D5C36"/>
    <w:rsid w:val="006D7601"/>
    <w:rsid w:val="006E16AF"/>
    <w:rsid w:val="006F0692"/>
    <w:rsid w:val="006F2E10"/>
    <w:rsid w:val="006F3DC5"/>
    <w:rsid w:val="00703178"/>
    <w:rsid w:val="0070601F"/>
    <w:rsid w:val="00714578"/>
    <w:rsid w:val="00717924"/>
    <w:rsid w:val="0072016E"/>
    <w:rsid w:val="00721640"/>
    <w:rsid w:val="00722CB4"/>
    <w:rsid w:val="007249FA"/>
    <w:rsid w:val="00730AB6"/>
    <w:rsid w:val="00730BC7"/>
    <w:rsid w:val="00731079"/>
    <w:rsid w:val="00732169"/>
    <w:rsid w:val="007326A0"/>
    <w:rsid w:val="00732B7E"/>
    <w:rsid w:val="00734F44"/>
    <w:rsid w:val="007352ED"/>
    <w:rsid w:val="00735B9C"/>
    <w:rsid w:val="00737CA6"/>
    <w:rsid w:val="0074224D"/>
    <w:rsid w:val="007474F3"/>
    <w:rsid w:val="00747913"/>
    <w:rsid w:val="00750D01"/>
    <w:rsid w:val="00754CE5"/>
    <w:rsid w:val="00755A2C"/>
    <w:rsid w:val="007602C0"/>
    <w:rsid w:val="00762B52"/>
    <w:rsid w:val="00763898"/>
    <w:rsid w:val="00765C73"/>
    <w:rsid w:val="00770870"/>
    <w:rsid w:val="00770D71"/>
    <w:rsid w:val="00771A70"/>
    <w:rsid w:val="00772899"/>
    <w:rsid w:val="00772D86"/>
    <w:rsid w:val="00774B52"/>
    <w:rsid w:val="00774E49"/>
    <w:rsid w:val="007763A5"/>
    <w:rsid w:val="00777905"/>
    <w:rsid w:val="007779B5"/>
    <w:rsid w:val="00780692"/>
    <w:rsid w:val="00780898"/>
    <w:rsid w:val="00780BA7"/>
    <w:rsid w:val="00783133"/>
    <w:rsid w:val="007860E9"/>
    <w:rsid w:val="0078627B"/>
    <w:rsid w:val="00795614"/>
    <w:rsid w:val="00795CCF"/>
    <w:rsid w:val="00796EE8"/>
    <w:rsid w:val="007A16FD"/>
    <w:rsid w:val="007A728B"/>
    <w:rsid w:val="007A7764"/>
    <w:rsid w:val="007B210C"/>
    <w:rsid w:val="007B2DFB"/>
    <w:rsid w:val="007B3170"/>
    <w:rsid w:val="007B44F8"/>
    <w:rsid w:val="007B4C6F"/>
    <w:rsid w:val="007B79CD"/>
    <w:rsid w:val="007B7EFE"/>
    <w:rsid w:val="007C11D4"/>
    <w:rsid w:val="007C202C"/>
    <w:rsid w:val="007C4525"/>
    <w:rsid w:val="007C7C80"/>
    <w:rsid w:val="007D52CD"/>
    <w:rsid w:val="007D562C"/>
    <w:rsid w:val="007E0B23"/>
    <w:rsid w:val="007E4068"/>
    <w:rsid w:val="007E6EA4"/>
    <w:rsid w:val="007E6FEE"/>
    <w:rsid w:val="007E7DA0"/>
    <w:rsid w:val="007F363D"/>
    <w:rsid w:val="007F42AE"/>
    <w:rsid w:val="007F527B"/>
    <w:rsid w:val="007F6C83"/>
    <w:rsid w:val="007F728D"/>
    <w:rsid w:val="007F7307"/>
    <w:rsid w:val="008033BA"/>
    <w:rsid w:val="00811AEE"/>
    <w:rsid w:val="008139F5"/>
    <w:rsid w:val="00814A14"/>
    <w:rsid w:val="00814FFC"/>
    <w:rsid w:val="008155BD"/>
    <w:rsid w:val="008230E8"/>
    <w:rsid w:val="00827D04"/>
    <w:rsid w:val="00834494"/>
    <w:rsid w:val="00834C4E"/>
    <w:rsid w:val="0083578E"/>
    <w:rsid w:val="00837CA5"/>
    <w:rsid w:val="00842E5C"/>
    <w:rsid w:val="008439C5"/>
    <w:rsid w:val="00844D3C"/>
    <w:rsid w:val="00851564"/>
    <w:rsid w:val="0085356C"/>
    <w:rsid w:val="00857D1F"/>
    <w:rsid w:val="008617A7"/>
    <w:rsid w:val="0086605D"/>
    <w:rsid w:val="00870971"/>
    <w:rsid w:val="008723BF"/>
    <w:rsid w:val="00873EE7"/>
    <w:rsid w:val="00874F52"/>
    <w:rsid w:val="0087638F"/>
    <w:rsid w:val="008809C6"/>
    <w:rsid w:val="00880FD0"/>
    <w:rsid w:val="0088348D"/>
    <w:rsid w:val="008855D0"/>
    <w:rsid w:val="00886330"/>
    <w:rsid w:val="0088681E"/>
    <w:rsid w:val="008868B7"/>
    <w:rsid w:val="0089039B"/>
    <w:rsid w:val="008964D8"/>
    <w:rsid w:val="0089750B"/>
    <w:rsid w:val="008A04F3"/>
    <w:rsid w:val="008A2B26"/>
    <w:rsid w:val="008A3680"/>
    <w:rsid w:val="008A4581"/>
    <w:rsid w:val="008A6BAD"/>
    <w:rsid w:val="008B1DFF"/>
    <w:rsid w:val="008B1EB3"/>
    <w:rsid w:val="008B3205"/>
    <w:rsid w:val="008C02D6"/>
    <w:rsid w:val="008D0F0F"/>
    <w:rsid w:val="008D29DF"/>
    <w:rsid w:val="008D4177"/>
    <w:rsid w:val="008D6EF1"/>
    <w:rsid w:val="008E2D61"/>
    <w:rsid w:val="008E5A44"/>
    <w:rsid w:val="008E6A79"/>
    <w:rsid w:val="008F351D"/>
    <w:rsid w:val="008F39A2"/>
    <w:rsid w:val="008F5AD1"/>
    <w:rsid w:val="008F78EB"/>
    <w:rsid w:val="009059C0"/>
    <w:rsid w:val="009069EF"/>
    <w:rsid w:val="00915ADA"/>
    <w:rsid w:val="00916148"/>
    <w:rsid w:val="00916DCE"/>
    <w:rsid w:val="009269DA"/>
    <w:rsid w:val="00933EE6"/>
    <w:rsid w:val="00935050"/>
    <w:rsid w:val="0093572E"/>
    <w:rsid w:val="0094095C"/>
    <w:rsid w:val="00941D5D"/>
    <w:rsid w:val="00942B6D"/>
    <w:rsid w:val="0094347C"/>
    <w:rsid w:val="0094501A"/>
    <w:rsid w:val="00945BD9"/>
    <w:rsid w:val="00947B90"/>
    <w:rsid w:val="00950CA5"/>
    <w:rsid w:val="00951053"/>
    <w:rsid w:val="00954CA4"/>
    <w:rsid w:val="009552FF"/>
    <w:rsid w:val="009621A7"/>
    <w:rsid w:val="00964C90"/>
    <w:rsid w:val="00965138"/>
    <w:rsid w:val="009661C2"/>
    <w:rsid w:val="00974C3C"/>
    <w:rsid w:val="00975733"/>
    <w:rsid w:val="00975812"/>
    <w:rsid w:val="009808E7"/>
    <w:rsid w:val="009819E8"/>
    <w:rsid w:val="00981E4E"/>
    <w:rsid w:val="00982105"/>
    <w:rsid w:val="00984869"/>
    <w:rsid w:val="0098792D"/>
    <w:rsid w:val="00987F7B"/>
    <w:rsid w:val="00992F93"/>
    <w:rsid w:val="0099347D"/>
    <w:rsid w:val="009956BE"/>
    <w:rsid w:val="00996ED9"/>
    <w:rsid w:val="009970C7"/>
    <w:rsid w:val="00997B25"/>
    <w:rsid w:val="009A1089"/>
    <w:rsid w:val="009B01AD"/>
    <w:rsid w:val="009B0A68"/>
    <w:rsid w:val="009B1E7F"/>
    <w:rsid w:val="009B48FA"/>
    <w:rsid w:val="009B7462"/>
    <w:rsid w:val="009C0FC1"/>
    <w:rsid w:val="009C6E6A"/>
    <w:rsid w:val="009E06E4"/>
    <w:rsid w:val="009E070A"/>
    <w:rsid w:val="009E3265"/>
    <w:rsid w:val="009E4EFE"/>
    <w:rsid w:val="009E5507"/>
    <w:rsid w:val="009F41C1"/>
    <w:rsid w:val="009F5972"/>
    <w:rsid w:val="00A02A00"/>
    <w:rsid w:val="00A02D3B"/>
    <w:rsid w:val="00A03B72"/>
    <w:rsid w:val="00A047A9"/>
    <w:rsid w:val="00A10B24"/>
    <w:rsid w:val="00A16598"/>
    <w:rsid w:val="00A2738B"/>
    <w:rsid w:val="00A30238"/>
    <w:rsid w:val="00A319BD"/>
    <w:rsid w:val="00A33059"/>
    <w:rsid w:val="00A416BE"/>
    <w:rsid w:val="00A437B6"/>
    <w:rsid w:val="00A47FD3"/>
    <w:rsid w:val="00A55A93"/>
    <w:rsid w:val="00A55F35"/>
    <w:rsid w:val="00A566C8"/>
    <w:rsid w:val="00A6184A"/>
    <w:rsid w:val="00A65D2A"/>
    <w:rsid w:val="00A70888"/>
    <w:rsid w:val="00A70CBA"/>
    <w:rsid w:val="00A7286C"/>
    <w:rsid w:val="00A72D78"/>
    <w:rsid w:val="00A72DEF"/>
    <w:rsid w:val="00A72F4F"/>
    <w:rsid w:val="00A73498"/>
    <w:rsid w:val="00A75414"/>
    <w:rsid w:val="00A7670A"/>
    <w:rsid w:val="00A77484"/>
    <w:rsid w:val="00A82464"/>
    <w:rsid w:val="00A83F5C"/>
    <w:rsid w:val="00A85A0A"/>
    <w:rsid w:val="00A909DA"/>
    <w:rsid w:val="00A91CE4"/>
    <w:rsid w:val="00A93BC2"/>
    <w:rsid w:val="00A953DD"/>
    <w:rsid w:val="00A95C00"/>
    <w:rsid w:val="00A966F6"/>
    <w:rsid w:val="00AA23AA"/>
    <w:rsid w:val="00AA5119"/>
    <w:rsid w:val="00AB179B"/>
    <w:rsid w:val="00AB2BB0"/>
    <w:rsid w:val="00AB4E76"/>
    <w:rsid w:val="00AB567E"/>
    <w:rsid w:val="00AB69A8"/>
    <w:rsid w:val="00AB74B3"/>
    <w:rsid w:val="00AC100E"/>
    <w:rsid w:val="00AC1C79"/>
    <w:rsid w:val="00AC1F9A"/>
    <w:rsid w:val="00AC32FD"/>
    <w:rsid w:val="00AC6B75"/>
    <w:rsid w:val="00AD0BCB"/>
    <w:rsid w:val="00AD29F4"/>
    <w:rsid w:val="00AD5637"/>
    <w:rsid w:val="00AD5832"/>
    <w:rsid w:val="00AE07AC"/>
    <w:rsid w:val="00AE0BEB"/>
    <w:rsid w:val="00AE1C48"/>
    <w:rsid w:val="00AE59F2"/>
    <w:rsid w:val="00AF3575"/>
    <w:rsid w:val="00AF4843"/>
    <w:rsid w:val="00AF77AA"/>
    <w:rsid w:val="00B00052"/>
    <w:rsid w:val="00B03C3F"/>
    <w:rsid w:val="00B04C0A"/>
    <w:rsid w:val="00B05DE5"/>
    <w:rsid w:val="00B102D3"/>
    <w:rsid w:val="00B113B1"/>
    <w:rsid w:val="00B12E98"/>
    <w:rsid w:val="00B14B02"/>
    <w:rsid w:val="00B1514C"/>
    <w:rsid w:val="00B22144"/>
    <w:rsid w:val="00B228B8"/>
    <w:rsid w:val="00B30D5B"/>
    <w:rsid w:val="00B41381"/>
    <w:rsid w:val="00B42902"/>
    <w:rsid w:val="00B43CEC"/>
    <w:rsid w:val="00B45725"/>
    <w:rsid w:val="00B50277"/>
    <w:rsid w:val="00B50968"/>
    <w:rsid w:val="00B55D96"/>
    <w:rsid w:val="00B57AA6"/>
    <w:rsid w:val="00B643B3"/>
    <w:rsid w:val="00B73159"/>
    <w:rsid w:val="00B74580"/>
    <w:rsid w:val="00B771E1"/>
    <w:rsid w:val="00B77BD1"/>
    <w:rsid w:val="00B81340"/>
    <w:rsid w:val="00B817C6"/>
    <w:rsid w:val="00B854D8"/>
    <w:rsid w:val="00B872FB"/>
    <w:rsid w:val="00B90EFA"/>
    <w:rsid w:val="00B917CC"/>
    <w:rsid w:val="00B930F6"/>
    <w:rsid w:val="00B9424E"/>
    <w:rsid w:val="00B94297"/>
    <w:rsid w:val="00B943AB"/>
    <w:rsid w:val="00B94ED7"/>
    <w:rsid w:val="00B95539"/>
    <w:rsid w:val="00BA1C7D"/>
    <w:rsid w:val="00BA247E"/>
    <w:rsid w:val="00BA3B75"/>
    <w:rsid w:val="00BA4735"/>
    <w:rsid w:val="00BA74D0"/>
    <w:rsid w:val="00BB26E8"/>
    <w:rsid w:val="00BC2CAF"/>
    <w:rsid w:val="00BC4B05"/>
    <w:rsid w:val="00BC5607"/>
    <w:rsid w:val="00BD11AD"/>
    <w:rsid w:val="00BD2747"/>
    <w:rsid w:val="00BD290E"/>
    <w:rsid w:val="00BD4815"/>
    <w:rsid w:val="00BD5202"/>
    <w:rsid w:val="00BD5A7B"/>
    <w:rsid w:val="00BD6178"/>
    <w:rsid w:val="00BE0A4B"/>
    <w:rsid w:val="00BE0FA0"/>
    <w:rsid w:val="00BE158B"/>
    <w:rsid w:val="00BE352B"/>
    <w:rsid w:val="00BE4725"/>
    <w:rsid w:val="00BE6E84"/>
    <w:rsid w:val="00BF5790"/>
    <w:rsid w:val="00BF68B2"/>
    <w:rsid w:val="00C010F4"/>
    <w:rsid w:val="00C07926"/>
    <w:rsid w:val="00C07960"/>
    <w:rsid w:val="00C07D04"/>
    <w:rsid w:val="00C13781"/>
    <w:rsid w:val="00C14E99"/>
    <w:rsid w:val="00C157ED"/>
    <w:rsid w:val="00C174E9"/>
    <w:rsid w:val="00C17A9D"/>
    <w:rsid w:val="00C217F1"/>
    <w:rsid w:val="00C225EC"/>
    <w:rsid w:val="00C23422"/>
    <w:rsid w:val="00C25497"/>
    <w:rsid w:val="00C33A05"/>
    <w:rsid w:val="00C36D27"/>
    <w:rsid w:val="00C42B1F"/>
    <w:rsid w:val="00C44FCA"/>
    <w:rsid w:val="00C45782"/>
    <w:rsid w:val="00C50BA2"/>
    <w:rsid w:val="00C548D8"/>
    <w:rsid w:val="00C5496A"/>
    <w:rsid w:val="00C55B49"/>
    <w:rsid w:val="00C56313"/>
    <w:rsid w:val="00C67311"/>
    <w:rsid w:val="00C701A3"/>
    <w:rsid w:val="00C76546"/>
    <w:rsid w:val="00C768DA"/>
    <w:rsid w:val="00C80BD4"/>
    <w:rsid w:val="00C81D79"/>
    <w:rsid w:val="00C81EA2"/>
    <w:rsid w:val="00C8338D"/>
    <w:rsid w:val="00C835C5"/>
    <w:rsid w:val="00C846DD"/>
    <w:rsid w:val="00C865A8"/>
    <w:rsid w:val="00C904C0"/>
    <w:rsid w:val="00C93770"/>
    <w:rsid w:val="00C964D1"/>
    <w:rsid w:val="00C96A3B"/>
    <w:rsid w:val="00C9759D"/>
    <w:rsid w:val="00CA10A1"/>
    <w:rsid w:val="00CA1EA3"/>
    <w:rsid w:val="00CA2372"/>
    <w:rsid w:val="00CA2EAF"/>
    <w:rsid w:val="00CA5487"/>
    <w:rsid w:val="00CB06CC"/>
    <w:rsid w:val="00CB0B35"/>
    <w:rsid w:val="00CB1239"/>
    <w:rsid w:val="00CB229E"/>
    <w:rsid w:val="00CB3690"/>
    <w:rsid w:val="00CB63C0"/>
    <w:rsid w:val="00CB74DF"/>
    <w:rsid w:val="00CC3165"/>
    <w:rsid w:val="00CC4B18"/>
    <w:rsid w:val="00CD1024"/>
    <w:rsid w:val="00CD2381"/>
    <w:rsid w:val="00CD6D8A"/>
    <w:rsid w:val="00CE0976"/>
    <w:rsid w:val="00CF0DD8"/>
    <w:rsid w:val="00CF14EC"/>
    <w:rsid w:val="00CF209E"/>
    <w:rsid w:val="00CF49A5"/>
    <w:rsid w:val="00CF5407"/>
    <w:rsid w:val="00CF65D0"/>
    <w:rsid w:val="00CF69D7"/>
    <w:rsid w:val="00D001AD"/>
    <w:rsid w:val="00D00784"/>
    <w:rsid w:val="00D024B1"/>
    <w:rsid w:val="00D060B2"/>
    <w:rsid w:val="00D064DF"/>
    <w:rsid w:val="00D12EAC"/>
    <w:rsid w:val="00D15231"/>
    <w:rsid w:val="00D15D46"/>
    <w:rsid w:val="00D16150"/>
    <w:rsid w:val="00D21A60"/>
    <w:rsid w:val="00D2402C"/>
    <w:rsid w:val="00D30D4A"/>
    <w:rsid w:val="00D4065D"/>
    <w:rsid w:val="00D46F89"/>
    <w:rsid w:val="00D517FB"/>
    <w:rsid w:val="00D52C3B"/>
    <w:rsid w:val="00D54BC6"/>
    <w:rsid w:val="00D54D67"/>
    <w:rsid w:val="00D557E9"/>
    <w:rsid w:val="00D55DDA"/>
    <w:rsid w:val="00D55DDE"/>
    <w:rsid w:val="00D57D17"/>
    <w:rsid w:val="00D60CB8"/>
    <w:rsid w:val="00D6148F"/>
    <w:rsid w:val="00D61C1C"/>
    <w:rsid w:val="00D61C42"/>
    <w:rsid w:val="00D62475"/>
    <w:rsid w:val="00D66CBA"/>
    <w:rsid w:val="00D72DDF"/>
    <w:rsid w:val="00D73609"/>
    <w:rsid w:val="00D7543E"/>
    <w:rsid w:val="00D77CF6"/>
    <w:rsid w:val="00D86562"/>
    <w:rsid w:val="00D8760C"/>
    <w:rsid w:val="00D920E1"/>
    <w:rsid w:val="00D933A3"/>
    <w:rsid w:val="00D938C0"/>
    <w:rsid w:val="00DA577E"/>
    <w:rsid w:val="00DB12E9"/>
    <w:rsid w:val="00DB1EB4"/>
    <w:rsid w:val="00DB1EFF"/>
    <w:rsid w:val="00DB48CA"/>
    <w:rsid w:val="00DC0779"/>
    <w:rsid w:val="00DC5749"/>
    <w:rsid w:val="00DC688D"/>
    <w:rsid w:val="00DC6C3F"/>
    <w:rsid w:val="00DC7818"/>
    <w:rsid w:val="00DD0345"/>
    <w:rsid w:val="00DD44D7"/>
    <w:rsid w:val="00DD52A5"/>
    <w:rsid w:val="00DD7675"/>
    <w:rsid w:val="00DE7878"/>
    <w:rsid w:val="00DF6259"/>
    <w:rsid w:val="00DF7302"/>
    <w:rsid w:val="00DF7D59"/>
    <w:rsid w:val="00E00406"/>
    <w:rsid w:val="00E046BA"/>
    <w:rsid w:val="00E05C0B"/>
    <w:rsid w:val="00E063EB"/>
    <w:rsid w:val="00E065AB"/>
    <w:rsid w:val="00E06A89"/>
    <w:rsid w:val="00E11631"/>
    <w:rsid w:val="00E15D11"/>
    <w:rsid w:val="00E16AD8"/>
    <w:rsid w:val="00E23161"/>
    <w:rsid w:val="00E239BC"/>
    <w:rsid w:val="00E23FF7"/>
    <w:rsid w:val="00E24AA3"/>
    <w:rsid w:val="00E31A41"/>
    <w:rsid w:val="00E3303E"/>
    <w:rsid w:val="00E34348"/>
    <w:rsid w:val="00E36A1C"/>
    <w:rsid w:val="00E36F1E"/>
    <w:rsid w:val="00E4023A"/>
    <w:rsid w:val="00E411C3"/>
    <w:rsid w:val="00E46CED"/>
    <w:rsid w:val="00E50681"/>
    <w:rsid w:val="00E51DBB"/>
    <w:rsid w:val="00E54C13"/>
    <w:rsid w:val="00E5741D"/>
    <w:rsid w:val="00E61933"/>
    <w:rsid w:val="00E6303C"/>
    <w:rsid w:val="00E64964"/>
    <w:rsid w:val="00E6599A"/>
    <w:rsid w:val="00E67890"/>
    <w:rsid w:val="00E713E4"/>
    <w:rsid w:val="00E71EA3"/>
    <w:rsid w:val="00E7400E"/>
    <w:rsid w:val="00E80BB7"/>
    <w:rsid w:val="00E80C74"/>
    <w:rsid w:val="00E812C2"/>
    <w:rsid w:val="00E82F52"/>
    <w:rsid w:val="00E83A29"/>
    <w:rsid w:val="00E878C4"/>
    <w:rsid w:val="00E87DBB"/>
    <w:rsid w:val="00E95334"/>
    <w:rsid w:val="00E96DDF"/>
    <w:rsid w:val="00E97995"/>
    <w:rsid w:val="00E97D92"/>
    <w:rsid w:val="00EA003C"/>
    <w:rsid w:val="00EA08CF"/>
    <w:rsid w:val="00EA093A"/>
    <w:rsid w:val="00EA3AE7"/>
    <w:rsid w:val="00EA481C"/>
    <w:rsid w:val="00EA4C21"/>
    <w:rsid w:val="00EA5DB4"/>
    <w:rsid w:val="00EA6188"/>
    <w:rsid w:val="00EA6AC0"/>
    <w:rsid w:val="00EB43B1"/>
    <w:rsid w:val="00EB4AD1"/>
    <w:rsid w:val="00EB4C17"/>
    <w:rsid w:val="00EB559B"/>
    <w:rsid w:val="00EC3CDE"/>
    <w:rsid w:val="00EC48B8"/>
    <w:rsid w:val="00ED7A06"/>
    <w:rsid w:val="00ED7ADC"/>
    <w:rsid w:val="00EE051B"/>
    <w:rsid w:val="00EE073D"/>
    <w:rsid w:val="00EE44A8"/>
    <w:rsid w:val="00EE5167"/>
    <w:rsid w:val="00EE5B62"/>
    <w:rsid w:val="00EE7106"/>
    <w:rsid w:val="00EF0A78"/>
    <w:rsid w:val="00EF56F6"/>
    <w:rsid w:val="00EF6CC4"/>
    <w:rsid w:val="00EF7FF2"/>
    <w:rsid w:val="00F00BFC"/>
    <w:rsid w:val="00F01890"/>
    <w:rsid w:val="00F033F8"/>
    <w:rsid w:val="00F03712"/>
    <w:rsid w:val="00F03A22"/>
    <w:rsid w:val="00F03E93"/>
    <w:rsid w:val="00F06050"/>
    <w:rsid w:val="00F06052"/>
    <w:rsid w:val="00F07015"/>
    <w:rsid w:val="00F071BE"/>
    <w:rsid w:val="00F11523"/>
    <w:rsid w:val="00F126D2"/>
    <w:rsid w:val="00F12DC5"/>
    <w:rsid w:val="00F135D0"/>
    <w:rsid w:val="00F13A0D"/>
    <w:rsid w:val="00F1456F"/>
    <w:rsid w:val="00F173F8"/>
    <w:rsid w:val="00F17647"/>
    <w:rsid w:val="00F206C5"/>
    <w:rsid w:val="00F31EB0"/>
    <w:rsid w:val="00F3390D"/>
    <w:rsid w:val="00F34D0B"/>
    <w:rsid w:val="00F366D2"/>
    <w:rsid w:val="00F37144"/>
    <w:rsid w:val="00F40243"/>
    <w:rsid w:val="00F4457E"/>
    <w:rsid w:val="00F46C29"/>
    <w:rsid w:val="00F46FF1"/>
    <w:rsid w:val="00F476FA"/>
    <w:rsid w:val="00F47AEE"/>
    <w:rsid w:val="00F531EB"/>
    <w:rsid w:val="00F54E03"/>
    <w:rsid w:val="00F6418B"/>
    <w:rsid w:val="00F64D0B"/>
    <w:rsid w:val="00F6627D"/>
    <w:rsid w:val="00F66DFC"/>
    <w:rsid w:val="00F71852"/>
    <w:rsid w:val="00F74496"/>
    <w:rsid w:val="00F7539D"/>
    <w:rsid w:val="00F8329A"/>
    <w:rsid w:val="00F839CD"/>
    <w:rsid w:val="00F8754C"/>
    <w:rsid w:val="00F87686"/>
    <w:rsid w:val="00F8781D"/>
    <w:rsid w:val="00F9060F"/>
    <w:rsid w:val="00F92B65"/>
    <w:rsid w:val="00F97D59"/>
    <w:rsid w:val="00FA0083"/>
    <w:rsid w:val="00FA1234"/>
    <w:rsid w:val="00FA1586"/>
    <w:rsid w:val="00FA3C26"/>
    <w:rsid w:val="00FA6909"/>
    <w:rsid w:val="00FA6935"/>
    <w:rsid w:val="00FA75D8"/>
    <w:rsid w:val="00FB049E"/>
    <w:rsid w:val="00FB1A1C"/>
    <w:rsid w:val="00FB6CC1"/>
    <w:rsid w:val="00FC1FF7"/>
    <w:rsid w:val="00FC2B99"/>
    <w:rsid w:val="00FC339B"/>
    <w:rsid w:val="00FC48A0"/>
    <w:rsid w:val="00FC5DDF"/>
    <w:rsid w:val="00FC7220"/>
    <w:rsid w:val="00FC75FD"/>
    <w:rsid w:val="00FD46D8"/>
    <w:rsid w:val="00FE04FF"/>
    <w:rsid w:val="00FE0D48"/>
    <w:rsid w:val="00FE2E30"/>
    <w:rsid w:val="00FF257C"/>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E5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404570139">
      <w:bodyDiv w:val="1"/>
      <w:marLeft w:val="0"/>
      <w:marRight w:val="0"/>
      <w:marTop w:val="0"/>
      <w:marBottom w:val="0"/>
      <w:divBdr>
        <w:top w:val="none" w:sz="0" w:space="0" w:color="auto"/>
        <w:left w:val="none" w:sz="0" w:space="0" w:color="auto"/>
        <w:bottom w:val="none" w:sz="0" w:space="0" w:color="auto"/>
        <w:right w:val="none" w:sz="0" w:space="0" w:color="auto"/>
      </w:divBdr>
    </w:div>
    <w:div w:id="652567376">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2043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Paul.Malmud@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events/learn-workshop-600-mhz-band-pl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2480</Words>
  <Characters>13160</Characters>
  <Application>Microsoft Office Word</Application>
  <DocSecurity>0</DocSecurity>
  <Lines>215</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15701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2013-05-17T19:22:00Z</cp:lastPrinted>
  <dcterms:created xsi:type="dcterms:W3CDTF">2013-05-17T19:25:00Z</dcterms:created>
  <dcterms:modified xsi:type="dcterms:W3CDTF">2013-05-17T19:25:00Z</dcterms:modified>
  <cp:category> </cp:category>
  <cp:contentStatus> </cp:contentStatus>
</cp:coreProperties>
</file>